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292D27" w:rsidRPr="002710D4" w:rsidTr="004D6249">
        <w:tc>
          <w:tcPr>
            <w:tcW w:w="2552" w:type="dxa"/>
          </w:tcPr>
          <w:p w:rsidR="00292D27" w:rsidRPr="002710D4" w:rsidRDefault="00292D27" w:rsidP="00381E73">
            <w:pPr>
              <w:tabs>
                <w:tab w:val="left" w:pos="993"/>
              </w:tabs>
              <w:ind w:left="34"/>
              <w:jc w:val="center"/>
              <w:rPr>
                <w:rFonts w:ascii="Arial" w:hAnsi="Arial" w:cs="Arial"/>
                <w:sz w:val="32"/>
                <w:szCs w:val="32"/>
                <w:u w:val="words"/>
              </w:rPr>
            </w:pPr>
            <w:bookmarkStart w:id="0" w:name="_GoBack"/>
            <w:bookmarkEnd w:id="0"/>
            <w:r w:rsidRPr="002710D4">
              <w:rPr>
                <w:rFonts w:ascii="Arial" w:hAnsi="Arial" w:cs="Arial"/>
                <w:b/>
                <w:bCs/>
                <w:sz w:val="32"/>
                <w:szCs w:val="32"/>
              </w:rPr>
              <w:t>PARECER Nº</w:t>
            </w:r>
          </w:p>
        </w:tc>
        <w:tc>
          <w:tcPr>
            <w:tcW w:w="4111" w:type="dxa"/>
          </w:tcPr>
          <w:p w:rsidR="00292D27" w:rsidRPr="002710D4" w:rsidRDefault="00292D27" w:rsidP="00381E73">
            <w:pPr>
              <w:tabs>
                <w:tab w:val="left" w:pos="993"/>
              </w:tabs>
              <w:ind w:left="34"/>
              <w:jc w:val="center"/>
              <w:rPr>
                <w:rFonts w:ascii="Arial" w:hAnsi="Arial" w:cs="Arial"/>
                <w:sz w:val="32"/>
                <w:szCs w:val="32"/>
                <w:u w:val="words"/>
              </w:rPr>
            </w:pPr>
          </w:p>
        </w:tc>
        <w:tc>
          <w:tcPr>
            <w:tcW w:w="1797" w:type="dxa"/>
          </w:tcPr>
          <w:p w:rsidR="00292D27" w:rsidRPr="002710D4" w:rsidRDefault="00DD41DF" w:rsidP="002710D4">
            <w:pPr>
              <w:tabs>
                <w:tab w:val="left" w:pos="600"/>
                <w:tab w:val="left" w:pos="993"/>
              </w:tabs>
              <w:ind w:left="34"/>
              <w:jc w:val="center"/>
              <w:rPr>
                <w:rFonts w:ascii="Arial" w:hAnsi="Arial" w:cs="Arial"/>
                <w:sz w:val="32"/>
                <w:szCs w:val="32"/>
                <w:u w:val="words"/>
              </w:rPr>
            </w:pPr>
            <w:r w:rsidRPr="002710D4">
              <w:rPr>
                <w:rFonts w:ascii="Arial" w:hAnsi="Arial" w:cs="Arial"/>
                <w:b/>
                <w:bCs/>
                <w:sz w:val="32"/>
                <w:szCs w:val="32"/>
              </w:rPr>
              <w:t>/</w:t>
            </w:r>
            <w:r w:rsidR="002710D4" w:rsidRPr="002710D4">
              <w:rPr>
                <w:rFonts w:ascii="Arial" w:hAnsi="Arial" w:cs="Arial"/>
                <w:b/>
                <w:bCs/>
                <w:sz w:val="32"/>
                <w:szCs w:val="32"/>
              </w:rPr>
              <w:t>2019</w:t>
            </w:r>
          </w:p>
        </w:tc>
      </w:tr>
    </w:tbl>
    <w:p w:rsidR="00292D27" w:rsidRPr="002710D4" w:rsidRDefault="00292D27" w:rsidP="00381E73">
      <w:pPr>
        <w:tabs>
          <w:tab w:val="left" w:pos="993"/>
        </w:tabs>
        <w:ind w:left="34"/>
        <w:jc w:val="both"/>
        <w:rPr>
          <w:rFonts w:ascii="Arial" w:hAnsi="Arial" w:cs="Arial"/>
          <w:b/>
          <w:bCs/>
          <w:sz w:val="24"/>
          <w:szCs w:val="24"/>
        </w:rPr>
      </w:pPr>
    </w:p>
    <w:p w:rsidR="00292D27" w:rsidRPr="002710D4" w:rsidRDefault="00312EE4" w:rsidP="00381E73">
      <w:pPr>
        <w:pStyle w:val="Ttulo1"/>
        <w:tabs>
          <w:tab w:val="left" w:pos="993"/>
        </w:tabs>
        <w:ind w:left="34" w:right="0"/>
        <w:rPr>
          <w:b w:val="0"/>
          <w:bCs w:val="0"/>
          <w:sz w:val="25"/>
          <w:szCs w:val="25"/>
        </w:rPr>
      </w:pPr>
      <w:r w:rsidRPr="002710D4">
        <w:rPr>
          <w:b w:val="0"/>
          <w:sz w:val="25"/>
          <w:szCs w:val="25"/>
        </w:rPr>
        <w:t>Pr</w:t>
      </w:r>
      <w:r w:rsidR="002710D4" w:rsidRPr="002710D4">
        <w:rPr>
          <w:b w:val="0"/>
          <w:sz w:val="25"/>
          <w:szCs w:val="25"/>
        </w:rPr>
        <w:t>oposta de Emenda à Lei Orgânica do Município</w:t>
      </w:r>
      <w:r w:rsidR="00BD77C4" w:rsidRPr="002710D4">
        <w:rPr>
          <w:b w:val="0"/>
          <w:sz w:val="25"/>
          <w:szCs w:val="25"/>
        </w:rPr>
        <w:t xml:space="preserve"> nº </w:t>
      </w:r>
      <w:r w:rsidR="002710D4" w:rsidRPr="002710D4">
        <w:rPr>
          <w:b w:val="0"/>
          <w:sz w:val="25"/>
          <w:szCs w:val="25"/>
        </w:rPr>
        <w:t>003/2019</w:t>
      </w:r>
    </w:p>
    <w:p w:rsidR="00292D27" w:rsidRPr="002710D4" w:rsidRDefault="00292D27" w:rsidP="00381E73">
      <w:pPr>
        <w:tabs>
          <w:tab w:val="left" w:pos="993"/>
        </w:tabs>
        <w:ind w:left="34"/>
        <w:jc w:val="both"/>
        <w:rPr>
          <w:rFonts w:ascii="Arial" w:hAnsi="Arial" w:cs="Arial"/>
          <w:bCs/>
          <w:sz w:val="25"/>
          <w:szCs w:val="25"/>
        </w:rPr>
      </w:pPr>
    </w:p>
    <w:p w:rsidR="00292D27" w:rsidRPr="002710D4" w:rsidRDefault="00292D27" w:rsidP="00381E73">
      <w:pPr>
        <w:pStyle w:val="Ttulo1"/>
        <w:tabs>
          <w:tab w:val="left" w:pos="993"/>
        </w:tabs>
        <w:ind w:left="34" w:right="0"/>
        <w:rPr>
          <w:b w:val="0"/>
          <w:sz w:val="25"/>
          <w:szCs w:val="25"/>
        </w:rPr>
      </w:pPr>
      <w:r w:rsidRPr="002710D4">
        <w:rPr>
          <w:b w:val="0"/>
          <w:sz w:val="25"/>
          <w:szCs w:val="25"/>
        </w:rPr>
        <w:t xml:space="preserve">Processo nº </w:t>
      </w:r>
      <w:r w:rsidR="002710D4" w:rsidRPr="002710D4">
        <w:rPr>
          <w:b w:val="0"/>
          <w:sz w:val="25"/>
          <w:szCs w:val="25"/>
        </w:rPr>
        <w:t>334/2019</w:t>
      </w:r>
    </w:p>
    <w:p w:rsidR="00292D27" w:rsidRPr="002710D4" w:rsidRDefault="00292D27" w:rsidP="00381E73">
      <w:pPr>
        <w:tabs>
          <w:tab w:val="left" w:pos="993"/>
        </w:tabs>
        <w:ind w:left="34"/>
        <w:jc w:val="both"/>
        <w:rPr>
          <w:rFonts w:ascii="Arial" w:hAnsi="Arial" w:cs="Arial"/>
          <w:bCs/>
          <w:sz w:val="25"/>
          <w:szCs w:val="25"/>
        </w:rPr>
      </w:pPr>
    </w:p>
    <w:p w:rsidR="00292D27" w:rsidRPr="002710D4" w:rsidRDefault="00292D27" w:rsidP="00381E73">
      <w:pPr>
        <w:tabs>
          <w:tab w:val="left" w:pos="993"/>
        </w:tabs>
        <w:ind w:left="34"/>
        <w:jc w:val="both"/>
        <w:rPr>
          <w:rFonts w:ascii="Arial" w:hAnsi="Arial" w:cs="Arial"/>
          <w:sz w:val="25"/>
          <w:szCs w:val="25"/>
        </w:rPr>
      </w:pPr>
      <w:r w:rsidRPr="002710D4">
        <w:rPr>
          <w:rFonts w:ascii="Arial" w:hAnsi="Arial" w:cs="Arial"/>
          <w:bCs/>
          <w:sz w:val="25"/>
          <w:szCs w:val="25"/>
        </w:rPr>
        <w:t xml:space="preserve">Iniciativa: </w:t>
      </w:r>
      <w:r w:rsidR="00565B43" w:rsidRPr="002710D4">
        <w:rPr>
          <w:rFonts w:ascii="Arial" w:hAnsi="Arial" w:cs="Arial"/>
          <w:bCs/>
          <w:sz w:val="25"/>
          <w:szCs w:val="25"/>
        </w:rPr>
        <w:t xml:space="preserve">VEREADOR </w:t>
      </w:r>
      <w:r w:rsidR="002710D4" w:rsidRPr="002710D4">
        <w:rPr>
          <w:rFonts w:ascii="Arial" w:hAnsi="Arial" w:cs="Arial"/>
          <w:sz w:val="25"/>
          <w:szCs w:val="25"/>
        </w:rPr>
        <w:t>JOSÉ CARLOS PORSANI, VEREADOR ELIAS CHEDIEK, VEREADOR PASTOR RAIMUNDO BEZERRA, VEREADOR JÉFERSON YASHUDA, VEREADOR TENENTE SANTANA, VEREADOR LUCAS GRECCO e VEREADOR ELTON NEGRINI</w:t>
      </w:r>
    </w:p>
    <w:p w:rsidR="00292D27" w:rsidRPr="002710D4" w:rsidRDefault="00292D27" w:rsidP="00381E73">
      <w:pPr>
        <w:tabs>
          <w:tab w:val="left" w:pos="993"/>
        </w:tabs>
        <w:ind w:left="34"/>
        <w:jc w:val="both"/>
        <w:rPr>
          <w:rFonts w:ascii="Arial" w:hAnsi="Arial" w:cs="Arial"/>
          <w:bCs/>
          <w:sz w:val="25"/>
          <w:szCs w:val="25"/>
        </w:rPr>
      </w:pPr>
    </w:p>
    <w:p w:rsidR="00292D27" w:rsidRPr="002710D4" w:rsidRDefault="00292D27" w:rsidP="00381E73">
      <w:pPr>
        <w:tabs>
          <w:tab w:val="left" w:pos="993"/>
        </w:tabs>
        <w:ind w:left="34"/>
        <w:jc w:val="both"/>
        <w:rPr>
          <w:rFonts w:ascii="Arial" w:hAnsi="Arial" w:cs="Arial"/>
          <w:bCs/>
          <w:sz w:val="25"/>
          <w:szCs w:val="25"/>
        </w:rPr>
      </w:pPr>
      <w:r w:rsidRPr="002710D4">
        <w:rPr>
          <w:rFonts w:ascii="Arial" w:hAnsi="Arial" w:cs="Arial"/>
          <w:bCs/>
          <w:sz w:val="25"/>
          <w:szCs w:val="25"/>
        </w:rPr>
        <w:t xml:space="preserve">Assunto: </w:t>
      </w:r>
      <w:r w:rsidR="002710D4" w:rsidRPr="002710D4">
        <w:rPr>
          <w:rFonts w:ascii="Arial" w:hAnsi="Arial" w:cs="Arial"/>
          <w:sz w:val="25"/>
          <w:szCs w:val="25"/>
        </w:rPr>
        <w:t>Altera a Lei Orgânica do Município de Araraquara, de modo a tornar obrigatória a execução da programação orçamentária que especifica.</w:t>
      </w:r>
    </w:p>
    <w:p w:rsidR="009C4CAF" w:rsidRPr="002710D4" w:rsidRDefault="009C4CAF" w:rsidP="00381E73">
      <w:pPr>
        <w:tabs>
          <w:tab w:val="left" w:pos="993"/>
        </w:tabs>
        <w:ind w:left="34"/>
        <w:jc w:val="both"/>
        <w:rPr>
          <w:rFonts w:ascii="Arial" w:hAnsi="Arial" w:cs="Arial"/>
          <w:sz w:val="25"/>
          <w:szCs w:val="25"/>
        </w:rPr>
      </w:pP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Cuida-se de Proposta de Emenda à Lei Orgânica do Município de Araraquara subscrita pelos Vereadores José Carlos Porsani, Pastor Raimundo Bezerra, Tenente Santana, Lucas Grecco, Elias Chediek, Jéferson Yashuda, Delegado Elton Negrini e Rafael de Angeli, que “altera a Lei Orgânica do Município de Araraquara, de modo a tornar obrigatória a execução da programação orçamentária que especifica”.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O projeto cumpriu todas as formalidades necessárias até o momento: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- 1) nos termos do art. 69, I, da Lei Orgânica do Município de Araraquara, foi subscrito por oito Vereadores (portanto, em quantidade superior ao mínimo de 1/3 dos Vereadores);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- 2) nos termos do art. 301, “caput”, do Regimento Interno da Câmara Municipal de Araraquara:</w:t>
      </w:r>
    </w:p>
    <w:p w:rsidR="002710D4" w:rsidRPr="002710D4" w:rsidRDefault="002710D4" w:rsidP="002710D4">
      <w:pPr>
        <w:autoSpaceDE/>
        <w:autoSpaceDN/>
        <w:spacing w:before="120" w:after="120"/>
        <w:ind w:firstLine="1134"/>
        <w:jc w:val="both"/>
        <w:rPr>
          <w:rFonts w:ascii="Arial" w:hAnsi="Arial" w:cs="Arial"/>
          <w:sz w:val="25"/>
          <w:szCs w:val="25"/>
        </w:rPr>
      </w:pPr>
      <w:r w:rsidRPr="002710D4">
        <w:rPr>
          <w:rFonts w:ascii="Arial" w:hAnsi="Arial" w:cs="Arial"/>
          <w:sz w:val="25"/>
          <w:szCs w:val="25"/>
        </w:rPr>
        <w:t xml:space="preserve">- a) foi lido no Pequeno Expediente da 117ª Sessão Ordinária, realizada em 30 de julho de 2019; </w:t>
      </w:r>
    </w:p>
    <w:p w:rsidR="002710D4" w:rsidRPr="002710D4" w:rsidRDefault="002710D4" w:rsidP="002710D4">
      <w:pPr>
        <w:autoSpaceDE/>
        <w:autoSpaceDN/>
        <w:spacing w:before="120" w:after="120"/>
        <w:ind w:firstLine="1134"/>
        <w:jc w:val="both"/>
        <w:rPr>
          <w:rFonts w:ascii="Arial" w:hAnsi="Arial" w:cs="Arial"/>
          <w:sz w:val="25"/>
          <w:szCs w:val="25"/>
        </w:rPr>
      </w:pPr>
      <w:r w:rsidRPr="002710D4">
        <w:rPr>
          <w:rFonts w:ascii="Arial" w:hAnsi="Arial" w:cs="Arial"/>
          <w:sz w:val="25"/>
          <w:szCs w:val="25"/>
        </w:rPr>
        <w:t>- b) foi publicado no Jornal “Folha da Cidade”, Edição nº 10.111, de 1º de agosto de 2019;</w:t>
      </w:r>
    </w:p>
    <w:p w:rsidR="002710D4" w:rsidRPr="002710D4" w:rsidRDefault="002710D4" w:rsidP="002710D4">
      <w:pPr>
        <w:autoSpaceDE/>
        <w:autoSpaceDN/>
        <w:spacing w:before="120" w:after="120"/>
        <w:ind w:firstLine="1134"/>
        <w:jc w:val="both"/>
        <w:rPr>
          <w:rFonts w:ascii="Arial" w:hAnsi="Arial" w:cs="Arial"/>
          <w:sz w:val="25"/>
          <w:szCs w:val="25"/>
        </w:rPr>
      </w:pPr>
      <w:r w:rsidRPr="002710D4">
        <w:rPr>
          <w:rFonts w:ascii="Arial" w:hAnsi="Arial" w:cs="Arial"/>
          <w:sz w:val="25"/>
          <w:szCs w:val="25"/>
        </w:rPr>
        <w:t>- c) foi incluída em pauta na 118ª, 119ª e 120ª Sessões Ordinárias, realizadas, respectivamente, em 06, 13 e 20 de agosto de 2019, para apresentação de emendas;</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- 3) nos termos do art. 301, § 3º, do Regimento Interno da Câmara Municipal de Araraquara, foi remetido a esta Comissão de Justiça, Legislação e Redação, para emissão de parecer.</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O projeto em análise não recebeu qualquer emenda – estando preclusa, assim, a oportunidade para o exercício de tal faculdade, conforme reza o art. 301, § 1º, do Regimento Interno da Câmara Municipal de Araraquara.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lastRenderedPageBreak/>
        <w:t>Analisando-se a justificativa do projeto, dela facilmente se extrai a síntese dos seus pontos principais:</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- 1) o projeto “tem por objetivo inserir na Lei Orgânica do Município normas para tornar obrigatória a execução da programação orçamentária oriunda de emendas às peças orçamentárias de iniciativa parlamentar, em consonância com os predicados fixados pelas Emendas à Constituição da República Federativa do Brasil nº 86, de 17 de março de 2015, e nº 100, de 26 de junho de 2019”;</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- 2) o projeto “fixa obrigatoriedade (SIC) na ordem ‘de 1,2% (um inteiro e dois décimos por cento) da receita corrente líquida previsto no projeto encaminhado pelo Poder Executivo’, sendo que a metade deste percentual deverá necessariamente referir-se ‘à execução de ações e serviços públicos de saúde’, estando elaborada na mais absoluta simetria ao disposto nas supramencionadas emendas constitucionais”;</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- 3) o projeto seria viável não só em razão do fato de replicar o “orçamento impositivo” tal como aprovado pelo Congresso Nacional, mas igualmente em razão de sua “replicação na Constituição do Estado de São Paulo, por meio da recentíssima Emenda nº 45, promulgada pela Mesa da Assembleia Legislativo do Estado de São Paulo em 18 de dezembro de 2017”.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Em linhas gerais, era o que se entende pertinente relatar. Passa-se à análise do mérito do projeto.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De proêmio, a justificativa do projeto, apesar de singela, elenca os principais elementos que, a uma só vez, fundamentariam a sua apresentação e indicariam, “prima facie”, a sua constitucionalidade.</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Porém, necessário observar-se que esta Comissão de Justiça, Legislação e Redação, quando exerce o seu mister de averiguar a constitucionalidade das matérias que lhe são submetidas, deve, para desincumbir-se de tal ônus com retidão, utilizar como parâmetro não só a Constituição da República Federativa do Brasil, mas igualmente a Constituição do Estado de São Paulo.</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Nesse sentido, em que pese a justificativa do projeto dispor que este “está em consonância com os predicados” da Constituição da República Federativa do Brasil, fato é que o texto normativo do projeto reproduz, “mutatis mutandis”, o texto de nossa Lei Maior.</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Com efeito, necessário observar que, a despeito de seguir as diretrizes constantes da Emenda à Constituição da República Federativa do Brasil nº 86, de 17 de março de 2015, a incorporação do instituto da “execução obrigatória de programações orçamentárias” na Constituição do Estado de São Paulo daquela se diferenciou num aspecto fulcral, pois estabeleceu em 0,3% (três décimos por cento) o índice da execução obrigatória de programações orçamentárias decorrentes de emendas parlamentares ao projeto de lei orçamentária – na Constituição da República, tal índice fora fixado, como exposto, na ordem de 1,2% (um inteiro e dois décimos por cento).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lastRenderedPageBreak/>
        <w:t xml:space="preserve">Perceba-se que a Constituição do Estado de São Paulo, ao incorporar o “orçamento impositivo” em seu conteúdo, não o fez de maneira meramente remissiva à Lei Maior da Nação: desta diferenciou-se no que tange à definição do índice referencial de execução obrigatória, medida esta que nitidamente reflete a opção, pelo Poder Constituinte Bandeirante, de restringir o percentual de execução obrigatória das emendas parlamentares ao projeto de lei orçamentária.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Nesse sentido, a doutrina de lavra de Paulo Modesto, professor de Direito Administrativo da Universidade Federal da Bahia, dispõe que é grande o número de constituições estaduais no Brasil que reproduz amplamente ditames da Constituição da República por meio do uso de enunciados que remetem ao Texto Constitucional:</w:t>
      </w:r>
    </w:p>
    <w:p w:rsidR="002710D4" w:rsidRPr="002710D4" w:rsidRDefault="002710D4" w:rsidP="002710D4">
      <w:pPr>
        <w:autoSpaceDE/>
        <w:autoSpaceDN/>
        <w:spacing w:before="120" w:after="120"/>
        <w:ind w:left="3402"/>
        <w:jc w:val="both"/>
        <w:rPr>
          <w:rFonts w:ascii="Arial" w:hAnsi="Arial" w:cs="Arial"/>
          <w:sz w:val="25"/>
          <w:szCs w:val="25"/>
        </w:rPr>
      </w:pPr>
      <w:r w:rsidRPr="002710D4">
        <w:rPr>
          <w:rFonts w:ascii="Arial" w:hAnsi="Arial" w:cs="Arial"/>
          <w:sz w:val="25"/>
          <w:szCs w:val="25"/>
        </w:rPr>
        <w:t xml:space="preserve">Federação brasileira não é apenas um pacto político. É também um complexo normativo coordenado, que reúne ordens jurídicas distintas, delimitadas segundo o âmbito territorial de validade. Essa é a base para classificar, no sistema jurídico brasileiro, as normas em nacionais, federais, estaduais, municipais ou distritais. A transposição, repetição ou remissão de normas entre ordens jurídicas distintas é fenômeno usual no federalismo brasileiro, diante da primazia da Constituição Federal sobre as demais ordens jurídicas e o mimetismo normativo decorrente da fragilidade dos entes subnacionais, sendo frequente que as leis fundamentais das ordens estaduais, distritais e municipais reproduzam literalmente enunciados normativos presentes na Constituição Federal ou incorporem, por remissão, conteúdos constantes de enunciados constitucionais nacionais. (MODESTO, Paulo. As normas de reprodução, imitação e remissão como parâmetro de controle de constitucionalidade nos Estados membros da Federação e o papel das leis orgânicas municipais Modesto. </w:t>
      </w:r>
      <w:r w:rsidRPr="002710D4">
        <w:rPr>
          <w:rFonts w:ascii="Arial" w:hAnsi="Arial" w:cs="Arial"/>
          <w:b/>
          <w:sz w:val="25"/>
          <w:szCs w:val="25"/>
        </w:rPr>
        <w:t>Revista Brasileira de Direito Público</w:t>
      </w:r>
      <w:r w:rsidRPr="002710D4">
        <w:rPr>
          <w:rFonts w:ascii="Arial" w:hAnsi="Arial" w:cs="Arial"/>
          <w:sz w:val="25"/>
          <w:szCs w:val="25"/>
        </w:rPr>
        <w:t>, Belo Horizonte, p. 1 – 48, ano 12 - n. 46, julho/setembro – 2014. p. 3.)</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Desta forma, resta cabalmente demonstrado que o disposto nos §§ 6º a 10 do art. 177 Constituição do Estado de São Paulo (introduzidos pela Emenda à Constituição do Estado de São Paulo nº 45, de 18 de dezembro de 2017) não se trata de norma com caráter remissivo</w:t>
      </w:r>
      <w:r w:rsidR="00921E3F">
        <w:rPr>
          <w:rFonts w:ascii="Arial" w:hAnsi="Arial" w:cs="Arial"/>
          <w:sz w:val="25"/>
          <w:szCs w:val="25"/>
        </w:rPr>
        <w:t xml:space="preserve"> – este compreendido como </w:t>
      </w:r>
      <w:r w:rsidRPr="002710D4">
        <w:rPr>
          <w:rFonts w:ascii="Arial" w:hAnsi="Arial" w:cs="Arial"/>
          <w:sz w:val="25"/>
          <w:szCs w:val="25"/>
        </w:rPr>
        <w:t>“na medida em que, para a disciplina dos limites da autonomia municipal, remete para as disposições constantes da Constituição Federal” (STF, Rcl 10.406-GO, Rel. Min. Gilmar Mendes, 31-08-2010, DJe 06-09-2010; STF, Rcl 10.500-SP, Rel. Min. Celso de Mello, 18-10-2010, DJe 26-10-2010).</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lastRenderedPageBreak/>
        <w:t xml:space="preserve">Tal raciocínio aumenta em importância quando se realiza a leitura do art. 144 da Constituição do Estado de São Paulo: </w:t>
      </w:r>
    </w:p>
    <w:p w:rsidR="002710D4" w:rsidRPr="002710D4" w:rsidRDefault="002710D4" w:rsidP="002710D4">
      <w:pPr>
        <w:autoSpaceDE/>
        <w:autoSpaceDN/>
        <w:spacing w:before="120" w:after="120"/>
        <w:ind w:left="3402"/>
        <w:jc w:val="both"/>
        <w:rPr>
          <w:rFonts w:ascii="Arial" w:hAnsi="Arial" w:cs="Arial"/>
          <w:sz w:val="25"/>
          <w:szCs w:val="25"/>
        </w:rPr>
      </w:pPr>
      <w:r w:rsidRPr="002710D4">
        <w:rPr>
          <w:rFonts w:ascii="Arial" w:hAnsi="Arial" w:cs="Arial"/>
          <w:sz w:val="25"/>
          <w:szCs w:val="25"/>
        </w:rPr>
        <w:t xml:space="preserve">“Artigo 144. Os Municípios, com autonomia política, legislativa, administrativa e financeira se auto-organizarão por Lei Orgânica, </w:t>
      </w:r>
      <w:r w:rsidRPr="002710D4">
        <w:rPr>
          <w:rFonts w:ascii="Arial" w:hAnsi="Arial" w:cs="Arial"/>
          <w:b/>
          <w:sz w:val="25"/>
          <w:szCs w:val="25"/>
          <w:u w:val="single"/>
        </w:rPr>
        <w:t>atendidos os princípios estabelecidos na Constituição Federal e nesta Constituição</w:t>
      </w:r>
      <w:r w:rsidRPr="002710D4">
        <w:rPr>
          <w:rFonts w:ascii="Arial" w:hAnsi="Arial" w:cs="Arial"/>
          <w:sz w:val="25"/>
          <w:szCs w:val="25"/>
        </w:rPr>
        <w:t>.” (grifo nosso)</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Noutros termos: o art. 144 da Constituição do Estado de São Paulo estipula que as Leis Orgânicas dos Municípios paulistas deverão observar, cumulativamente, os ditames da Constituição da República Federativa do Brasil </w:t>
      </w:r>
      <w:r w:rsidRPr="002710D4">
        <w:rPr>
          <w:rFonts w:ascii="Arial" w:hAnsi="Arial" w:cs="Arial"/>
          <w:b/>
          <w:sz w:val="25"/>
          <w:szCs w:val="25"/>
          <w:u w:val="single"/>
        </w:rPr>
        <w:t>e</w:t>
      </w:r>
      <w:r w:rsidRPr="002710D4">
        <w:rPr>
          <w:rFonts w:ascii="Arial" w:hAnsi="Arial" w:cs="Arial"/>
          <w:sz w:val="25"/>
          <w:szCs w:val="25"/>
        </w:rPr>
        <w:t xml:space="preserve"> da Constituição do Estado de São Paulo.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Aplicando-se tal interpretação ao projeto ora em análise, resta evidente a sua adequação à Lei Maior da Nação – conforme se infere de sua justificativa e do relatório deste parecer.</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Contudo, igual conclusão não se pode extrair quanto à Constituição do Estado de São Paulo, especificamente em razão do fato de o projeto veicular índice referencial de execução obrigatória superior ao previsto na Constituição Bandeirante.</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A despeito de qualquer juízo de valor, fato é que o Poder Constituinte Paulista, ao restringir o percentual de execução obrigatória das emendas parlamentares ao projeto de lei orçamentária, fez verdadeira opção por privilegiar o princípio autorizativo do orçamento público, em detrimento da faceta impositiva inaugurada pela Emenda à Constituição da República Federativa do Brasil nº 86, de 17 de março de 2015.</w:t>
      </w:r>
    </w:p>
    <w:p w:rsidR="002710D4" w:rsidRPr="002710D4" w:rsidRDefault="00921E3F" w:rsidP="002710D4">
      <w:pPr>
        <w:autoSpaceDE/>
        <w:autoSpaceDN/>
        <w:spacing w:before="120" w:after="120"/>
        <w:ind w:firstLine="567"/>
        <w:jc w:val="both"/>
        <w:rPr>
          <w:rFonts w:ascii="Arial" w:hAnsi="Arial" w:cs="Arial"/>
          <w:sz w:val="25"/>
          <w:szCs w:val="25"/>
        </w:rPr>
      </w:pPr>
      <w:r>
        <w:rPr>
          <w:rFonts w:ascii="Arial" w:hAnsi="Arial" w:cs="Arial"/>
          <w:sz w:val="25"/>
          <w:szCs w:val="25"/>
        </w:rPr>
        <w:t xml:space="preserve">Noutros termos: </w:t>
      </w:r>
      <w:r w:rsidR="002710D4" w:rsidRPr="002710D4">
        <w:rPr>
          <w:rFonts w:ascii="Arial" w:hAnsi="Arial" w:cs="Arial"/>
          <w:sz w:val="25"/>
          <w:szCs w:val="25"/>
        </w:rPr>
        <w:t>a Emenda à Constituição do Estado de São Paulo nº 45, de 18 de dezembro de 2017, a despeito de ter positivado o “orçamento impositivo”, assim o fez com maior reverência ao princípio autorizativo do orçamento público.</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No ponto, a partir deste raciocínio, verifica-se que, sob a perspectiva do art. 144 da Constituição do Estado de São Paulo, não poderia qualquer Município paulista incorporar, em sua administração, o “orçamento </w:t>
      </w:r>
      <w:r w:rsidR="00921E3F">
        <w:rPr>
          <w:rFonts w:ascii="Arial" w:hAnsi="Arial" w:cs="Arial"/>
          <w:sz w:val="25"/>
          <w:szCs w:val="25"/>
        </w:rPr>
        <w:t>im</w:t>
      </w:r>
      <w:r w:rsidRPr="002710D4">
        <w:rPr>
          <w:rFonts w:ascii="Arial" w:hAnsi="Arial" w:cs="Arial"/>
          <w:sz w:val="25"/>
          <w:szCs w:val="25"/>
        </w:rPr>
        <w:t>positivo” valendo-se de índice referencial de execução obrigatória superior a 0,3% (três décimos por cento) da receita corrente líquida – sob pena de frontal violação à prevalência do princípio autorizativo do orçamento público</w:t>
      </w:r>
      <w:r w:rsidR="00921E3F">
        <w:rPr>
          <w:rFonts w:ascii="Arial" w:hAnsi="Arial" w:cs="Arial"/>
          <w:sz w:val="25"/>
          <w:szCs w:val="25"/>
        </w:rPr>
        <w:t xml:space="preserve"> reverenciado na </w:t>
      </w:r>
      <w:r w:rsidR="00921E3F" w:rsidRPr="002710D4">
        <w:rPr>
          <w:rFonts w:ascii="Arial" w:hAnsi="Arial" w:cs="Arial"/>
          <w:sz w:val="25"/>
          <w:szCs w:val="25"/>
        </w:rPr>
        <w:t>Emenda à Constituição do Estado de São Paulo nº 45, de 18 de dezembro de 2017</w:t>
      </w:r>
      <w:r w:rsidRPr="002710D4">
        <w:rPr>
          <w:rFonts w:ascii="Arial" w:hAnsi="Arial" w:cs="Arial"/>
          <w:sz w:val="25"/>
          <w:szCs w:val="25"/>
        </w:rPr>
        <w:t xml:space="preserve">. </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Veja-se que, em que pese singelo, tal vício não pode ser sanado por esta Comissão de Justiça, Legislação e Redação: a uma, pelo fato já mencionado de restar preclusa a possibilidade de apresentação de emendas ao presente projeto; a duas, pelo fato de que Propostas de Emenda à Lei Orgânica demandam legitimidade qualificada (nos termos do art. 69 da Lei Orgânica do Município de Araraquara, devem ser apresentadas pelo Prefeito Municipal, por 1/3 [um terço] dos Vereadores ou por inciativa popular com o mínimo de cinco por cento dos </w:t>
      </w:r>
      <w:r w:rsidRPr="002710D4">
        <w:rPr>
          <w:rFonts w:ascii="Arial" w:hAnsi="Arial" w:cs="Arial"/>
          <w:sz w:val="25"/>
          <w:szCs w:val="25"/>
        </w:rPr>
        <w:lastRenderedPageBreak/>
        <w:t>eleitores do Município), a qual não pode ser satisfeita pelos integrantes desta Comissão – vale dizer, esta Comissão está impedida de apresentar Substitutivo ao projeto ora analisado.</w:t>
      </w:r>
    </w:p>
    <w:p w:rsidR="002710D4"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 xml:space="preserve">Assim sendo, ante à impossibilidade de se sanar o vício acima exposto, não resta outro caminho senão opinar-se pela inconstitucionalidade do presente projeto. </w:t>
      </w:r>
    </w:p>
    <w:p w:rsidR="009C4CAF" w:rsidRPr="002710D4" w:rsidRDefault="002710D4" w:rsidP="002710D4">
      <w:pPr>
        <w:autoSpaceDE/>
        <w:autoSpaceDN/>
        <w:spacing w:before="120" w:after="120"/>
        <w:ind w:firstLine="567"/>
        <w:jc w:val="both"/>
        <w:rPr>
          <w:rFonts w:ascii="Arial" w:hAnsi="Arial" w:cs="Arial"/>
          <w:sz w:val="25"/>
          <w:szCs w:val="25"/>
        </w:rPr>
      </w:pPr>
      <w:r w:rsidRPr="002710D4">
        <w:rPr>
          <w:rFonts w:ascii="Arial" w:hAnsi="Arial" w:cs="Arial"/>
          <w:sz w:val="25"/>
          <w:szCs w:val="25"/>
        </w:rPr>
        <w:t>É o parecer, s.m.j.</w:t>
      </w:r>
    </w:p>
    <w:p w:rsidR="009C4CAF" w:rsidRPr="002710D4" w:rsidRDefault="009C4CAF" w:rsidP="00381E73">
      <w:pPr>
        <w:tabs>
          <w:tab w:val="left" w:pos="993"/>
        </w:tabs>
        <w:ind w:left="34"/>
        <w:jc w:val="both"/>
        <w:rPr>
          <w:rFonts w:ascii="Arial" w:hAnsi="Arial" w:cs="Arial"/>
          <w:sz w:val="25"/>
          <w:szCs w:val="25"/>
        </w:rPr>
      </w:pPr>
    </w:p>
    <w:p w:rsidR="00381E73" w:rsidRPr="002710D4" w:rsidRDefault="00381E73" w:rsidP="00381E73">
      <w:pPr>
        <w:ind w:left="34"/>
        <w:jc w:val="center"/>
        <w:rPr>
          <w:rFonts w:ascii="Arial" w:hAnsi="Arial" w:cs="Arial"/>
          <w:bCs/>
          <w:sz w:val="25"/>
          <w:szCs w:val="25"/>
        </w:rPr>
      </w:pPr>
      <w:r w:rsidRPr="002710D4">
        <w:rPr>
          <w:rFonts w:ascii="Arial" w:hAnsi="Arial" w:cs="Arial"/>
          <w:bCs/>
          <w:sz w:val="25"/>
          <w:szCs w:val="25"/>
        </w:rPr>
        <w:t>Sala de reuniões das comissões, ______________________</w:t>
      </w: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r w:rsidRPr="002710D4">
        <w:rPr>
          <w:rFonts w:ascii="Arial" w:hAnsi="Arial" w:cs="Arial"/>
          <w:bCs/>
          <w:sz w:val="25"/>
          <w:szCs w:val="25"/>
        </w:rPr>
        <w:t>______________________________</w:t>
      </w:r>
    </w:p>
    <w:p w:rsidR="002710D4" w:rsidRPr="002710D4" w:rsidRDefault="002710D4" w:rsidP="00381E73">
      <w:pPr>
        <w:ind w:left="34"/>
        <w:jc w:val="center"/>
        <w:rPr>
          <w:rFonts w:ascii="Arial" w:hAnsi="Arial" w:cs="Arial"/>
          <w:b/>
          <w:bCs/>
          <w:sz w:val="25"/>
          <w:szCs w:val="25"/>
        </w:rPr>
      </w:pPr>
      <w:r w:rsidRPr="002710D4">
        <w:rPr>
          <w:rFonts w:ascii="Arial" w:hAnsi="Arial" w:cs="Arial"/>
          <w:b/>
          <w:bCs/>
          <w:sz w:val="25"/>
          <w:szCs w:val="25"/>
        </w:rPr>
        <w:t>Paulo Landim</w:t>
      </w:r>
    </w:p>
    <w:p w:rsidR="00381E73" w:rsidRPr="002710D4" w:rsidRDefault="00381E73" w:rsidP="00381E73">
      <w:pPr>
        <w:ind w:left="34"/>
        <w:jc w:val="center"/>
        <w:rPr>
          <w:rFonts w:ascii="Arial" w:hAnsi="Arial" w:cs="Arial"/>
          <w:bCs/>
          <w:sz w:val="25"/>
          <w:szCs w:val="25"/>
        </w:rPr>
      </w:pPr>
      <w:r w:rsidRPr="002710D4">
        <w:rPr>
          <w:rFonts w:ascii="Arial" w:hAnsi="Arial" w:cs="Arial"/>
          <w:b/>
          <w:bCs/>
          <w:sz w:val="25"/>
          <w:szCs w:val="25"/>
        </w:rPr>
        <w:t>Presidente da CJLR</w:t>
      </w: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p>
    <w:p w:rsidR="00381E73" w:rsidRPr="002710D4" w:rsidRDefault="00381E73" w:rsidP="00381E73">
      <w:pPr>
        <w:ind w:left="34"/>
        <w:jc w:val="center"/>
        <w:rPr>
          <w:rFonts w:ascii="Arial" w:hAnsi="Arial" w:cs="Arial"/>
          <w:bCs/>
          <w:sz w:val="25"/>
          <w:szCs w:val="25"/>
        </w:rPr>
      </w:pPr>
      <w:r w:rsidRPr="002710D4">
        <w:rPr>
          <w:rFonts w:ascii="Arial" w:hAnsi="Arial" w:cs="Arial"/>
          <w:bCs/>
          <w:sz w:val="25"/>
          <w:szCs w:val="25"/>
        </w:rPr>
        <w:t>_____________________________              _____________________________</w:t>
      </w:r>
    </w:p>
    <w:p w:rsidR="002710D4" w:rsidRPr="002710D4" w:rsidRDefault="002710D4" w:rsidP="002710D4">
      <w:pPr>
        <w:ind w:left="34"/>
        <w:jc w:val="both"/>
        <w:rPr>
          <w:rFonts w:ascii="Arial" w:hAnsi="Arial" w:cs="Arial"/>
          <w:b/>
          <w:bCs/>
          <w:sz w:val="25"/>
          <w:szCs w:val="25"/>
        </w:rPr>
      </w:pPr>
      <w:r w:rsidRPr="002710D4">
        <w:rPr>
          <w:rFonts w:ascii="Arial" w:hAnsi="Arial" w:cs="Arial"/>
          <w:b/>
          <w:bCs/>
          <w:sz w:val="25"/>
          <w:szCs w:val="25"/>
        </w:rPr>
        <w:t xml:space="preserve">                Lucas Grecco</w:t>
      </w:r>
      <w:r w:rsidR="00381E73" w:rsidRPr="002710D4">
        <w:rPr>
          <w:rFonts w:ascii="Arial" w:hAnsi="Arial" w:cs="Arial"/>
          <w:b/>
          <w:bCs/>
          <w:sz w:val="25"/>
          <w:szCs w:val="25"/>
        </w:rPr>
        <w:tab/>
        <w:t xml:space="preserve">                          </w:t>
      </w:r>
      <w:r>
        <w:rPr>
          <w:rFonts w:ascii="Arial" w:hAnsi="Arial" w:cs="Arial"/>
          <w:b/>
          <w:bCs/>
          <w:sz w:val="25"/>
          <w:szCs w:val="25"/>
        </w:rPr>
        <w:t xml:space="preserve">         </w:t>
      </w:r>
      <w:r w:rsidRPr="002710D4">
        <w:rPr>
          <w:rFonts w:ascii="Arial" w:hAnsi="Arial" w:cs="Arial"/>
          <w:b/>
          <w:bCs/>
          <w:sz w:val="25"/>
          <w:szCs w:val="25"/>
        </w:rPr>
        <w:t>José Carlos Porsani</w:t>
      </w:r>
    </w:p>
    <w:p w:rsidR="00381E73" w:rsidRPr="002710D4" w:rsidRDefault="00381E73" w:rsidP="00381E73">
      <w:pPr>
        <w:ind w:left="34"/>
        <w:jc w:val="center"/>
        <w:rPr>
          <w:rFonts w:ascii="Arial" w:hAnsi="Arial" w:cs="Arial"/>
          <w:b/>
          <w:bCs/>
          <w:sz w:val="25"/>
          <w:szCs w:val="25"/>
        </w:rPr>
      </w:pPr>
    </w:p>
    <w:sectPr w:rsidR="00381E73" w:rsidRPr="002710D4" w:rsidSect="002710D4">
      <w:headerReference w:type="default" r:id="rId8"/>
      <w:footerReference w:type="default" r:id="rId9"/>
      <w:pgSz w:w="11907" w:h="16840" w:code="9"/>
      <w:pgMar w:top="1701" w:right="1134" w:bottom="1134" w:left="1701" w:header="284" w:footer="30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17" w:rsidRDefault="00B66117" w:rsidP="00292D27">
      <w:r>
        <w:separator/>
      </w:r>
    </w:p>
  </w:endnote>
  <w:endnote w:type="continuationSeparator" w:id="0">
    <w:p w:rsidR="00B66117" w:rsidRDefault="00B66117" w:rsidP="002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49676332"/>
      <w:docPartObj>
        <w:docPartGallery w:val="Page Numbers (Bottom of Page)"/>
        <w:docPartUnique/>
      </w:docPartObj>
    </w:sdtPr>
    <w:sdtEndPr/>
    <w:sdtContent>
      <w:sdt>
        <w:sdtPr>
          <w:rPr>
            <w:rFonts w:ascii="Arial" w:hAnsi="Arial" w:cs="Arial"/>
          </w:rPr>
          <w:id w:val="1352608568"/>
          <w:docPartObj>
            <w:docPartGallery w:val="Page Numbers (Top of Page)"/>
            <w:docPartUnique/>
          </w:docPartObj>
        </w:sdtPr>
        <w:sdtEndPr/>
        <w:sdtContent>
          <w:p w:rsidR="002710D4" w:rsidRPr="00907FF0" w:rsidRDefault="002710D4" w:rsidP="002710D4">
            <w:pPr>
              <w:pStyle w:val="Rodap"/>
              <w:jc w:val="center"/>
              <w:rPr>
                <w:rFonts w:asciiTheme="majorHAnsi" w:hAnsiTheme="majorHAnsi"/>
                <w:b/>
                <w:szCs w:val="24"/>
              </w:rPr>
            </w:pPr>
            <w:r w:rsidRPr="00907FF0">
              <w:rPr>
                <w:rFonts w:asciiTheme="majorHAnsi" w:hAnsiTheme="majorHAnsi"/>
                <w:b/>
                <w:szCs w:val="24"/>
              </w:rPr>
              <w:t>______________________________________________________________________________</w:t>
            </w:r>
          </w:p>
          <w:p w:rsidR="002710D4" w:rsidRPr="00907FF0" w:rsidRDefault="002710D4" w:rsidP="002710D4">
            <w:pPr>
              <w:pStyle w:val="Rodap"/>
              <w:jc w:val="center"/>
              <w:rPr>
                <w:rFonts w:asciiTheme="majorHAnsi" w:hAnsiTheme="majorHAnsi"/>
              </w:rPr>
            </w:pPr>
            <w:r w:rsidRPr="00907FF0">
              <w:rPr>
                <w:rFonts w:asciiTheme="majorHAnsi" w:hAnsiTheme="majorHAnsi"/>
              </w:rPr>
              <w:t>Rua São Bento, 887, Centro, Araraquara - SP, CEP 14801-300</w:t>
            </w:r>
          </w:p>
          <w:p w:rsidR="002710D4" w:rsidRPr="00907FF0" w:rsidRDefault="002710D4" w:rsidP="002710D4">
            <w:pPr>
              <w:pStyle w:val="Rodap"/>
              <w:jc w:val="center"/>
              <w:rPr>
                <w:rFonts w:asciiTheme="majorHAnsi" w:hAnsiTheme="majorHAnsi"/>
              </w:rPr>
            </w:pPr>
            <w:r w:rsidRPr="00907FF0">
              <w:rPr>
                <w:rFonts w:asciiTheme="majorHAnsi" w:hAnsiTheme="majorHAnsi"/>
              </w:rPr>
              <w:t>www.camara-arq.sp.gov.br</w:t>
            </w:r>
          </w:p>
          <w:p w:rsidR="002710D4" w:rsidRPr="002710D4" w:rsidRDefault="002710D4">
            <w:pPr>
              <w:pStyle w:val="Rodap"/>
              <w:jc w:val="right"/>
              <w:rPr>
                <w:rFonts w:ascii="Arial" w:hAnsi="Arial" w:cs="Arial"/>
              </w:rPr>
            </w:pPr>
            <w:r w:rsidRPr="002710D4">
              <w:rPr>
                <w:rFonts w:ascii="Arial" w:hAnsi="Arial" w:cs="Arial"/>
              </w:rPr>
              <w:t xml:space="preserve">Página </w:t>
            </w:r>
            <w:r w:rsidRPr="002710D4">
              <w:rPr>
                <w:rFonts w:ascii="Arial" w:hAnsi="Arial" w:cs="Arial"/>
                <w:b/>
                <w:bCs/>
                <w:sz w:val="24"/>
                <w:szCs w:val="24"/>
              </w:rPr>
              <w:fldChar w:fldCharType="begin"/>
            </w:r>
            <w:r w:rsidRPr="002710D4">
              <w:rPr>
                <w:rFonts w:ascii="Arial" w:hAnsi="Arial" w:cs="Arial"/>
                <w:b/>
                <w:bCs/>
              </w:rPr>
              <w:instrText>PAGE</w:instrText>
            </w:r>
            <w:r w:rsidRPr="002710D4">
              <w:rPr>
                <w:rFonts w:ascii="Arial" w:hAnsi="Arial" w:cs="Arial"/>
                <w:b/>
                <w:bCs/>
                <w:sz w:val="24"/>
                <w:szCs w:val="24"/>
              </w:rPr>
              <w:fldChar w:fldCharType="separate"/>
            </w:r>
            <w:r w:rsidR="00DF27E9">
              <w:rPr>
                <w:rFonts w:ascii="Arial" w:hAnsi="Arial" w:cs="Arial"/>
                <w:b/>
                <w:bCs/>
                <w:noProof/>
              </w:rPr>
              <w:t>1</w:t>
            </w:r>
            <w:r w:rsidRPr="002710D4">
              <w:rPr>
                <w:rFonts w:ascii="Arial" w:hAnsi="Arial" w:cs="Arial"/>
                <w:b/>
                <w:bCs/>
                <w:sz w:val="24"/>
                <w:szCs w:val="24"/>
              </w:rPr>
              <w:fldChar w:fldCharType="end"/>
            </w:r>
            <w:r w:rsidRPr="002710D4">
              <w:rPr>
                <w:rFonts w:ascii="Arial" w:hAnsi="Arial" w:cs="Arial"/>
              </w:rPr>
              <w:t xml:space="preserve"> de </w:t>
            </w:r>
            <w:r w:rsidRPr="002710D4">
              <w:rPr>
                <w:rFonts w:ascii="Arial" w:hAnsi="Arial" w:cs="Arial"/>
                <w:b/>
                <w:bCs/>
                <w:sz w:val="24"/>
                <w:szCs w:val="24"/>
              </w:rPr>
              <w:fldChar w:fldCharType="begin"/>
            </w:r>
            <w:r w:rsidRPr="002710D4">
              <w:rPr>
                <w:rFonts w:ascii="Arial" w:hAnsi="Arial" w:cs="Arial"/>
                <w:b/>
                <w:bCs/>
              </w:rPr>
              <w:instrText>NUMPAGES</w:instrText>
            </w:r>
            <w:r w:rsidRPr="002710D4">
              <w:rPr>
                <w:rFonts w:ascii="Arial" w:hAnsi="Arial" w:cs="Arial"/>
                <w:b/>
                <w:bCs/>
                <w:sz w:val="24"/>
                <w:szCs w:val="24"/>
              </w:rPr>
              <w:fldChar w:fldCharType="separate"/>
            </w:r>
            <w:r w:rsidR="00DF27E9">
              <w:rPr>
                <w:rFonts w:ascii="Arial" w:hAnsi="Arial" w:cs="Arial"/>
                <w:b/>
                <w:bCs/>
                <w:noProof/>
              </w:rPr>
              <w:t>5</w:t>
            </w:r>
            <w:r w:rsidRPr="002710D4">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17" w:rsidRDefault="00B66117" w:rsidP="00292D27">
      <w:r>
        <w:separator/>
      </w:r>
    </w:p>
  </w:footnote>
  <w:footnote w:type="continuationSeparator" w:id="0">
    <w:p w:rsidR="00B66117" w:rsidRDefault="00B66117" w:rsidP="0029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1E" w:rsidRDefault="00C1711E" w:rsidP="00ED2C11">
    <w:pPr>
      <w:spacing w:after="120"/>
      <w:ind w:right="425" w:firstLine="1560"/>
      <w:jc w:val="center"/>
      <w:rPr>
        <w:rFonts w:ascii="Cambria" w:hAnsi="Cambria"/>
        <w:smallCaps/>
        <w:sz w:val="50"/>
      </w:rPr>
    </w:pPr>
    <w:r w:rsidRPr="00934134">
      <w:rPr>
        <w:noProof/>
        <w:color w:val="4F81BD" w:themeColor="accent1"/>
      </w:rPr>
      <w:drawing>
        <wp:anchor distT="0" distB="0" distL="114300" distR="114300" simplePos="0" relativeHeight="251659264" behindDoc="0" locked="0" layoutInCell="1" allowOverlap="1" wp14:anchorId="2C53DCC0" wp14:editId="284882AD">
          <wp:simplePos x="0" y="0"/>
          <wp:positionH relativeFrom="column">
            <wp:posOffset>94103</wp:posOffset>
          </wp:positionH>
          <wp:positionV relativeFrom="paragraph">
            <wp:posOffset>-32092</wp:posOffset>
          </wp:positionV>
          <wp:extent cx="824400" cy="9000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00" cy="900000"/>
                  </a:xfrm>
                  <a:prstGeom prst="rect">
                    <a:avLst/>
                  </a:prstGeom>
                </pic:spPr>
              </pic:pic>
            </a:graphicData>
          </a:graphic>
          <wp14:sizeRelH relativeFrom="page">
            <wp14:pctWidth>0</wp14:pctWidth>
          </wp14:sizeRelH>
          <wp14:sizeRelV relativeFrom="page">
            <wp14:pctHeight>0</wp14:pctHeight>
          </wp14:sizeRelV>
        </wp:anchor>
      </w:drawing>
    </w:r>
    <w:r w:rsidRPr="001E186C">
      <w:rPr>
        <w:rFonts w:ascii="Cambria" w:hAnsi="Cambria"/>
        <w:smallCaps/>
        <w:color w:val="548DD4" w:themeColor="text2" w:themeTint="99"/>
        <w:sz w:val="50"/>
      </w:rPr>
      <w:t>Câmara Municipal de Araraquara</w:t>
    </w:r>
  </w:p>
  <w:p w:rsidR="00C1711E" w:rsidRPr="001E186C" w:rsidRDefault="00C1711E" w:rsidP="00ED2C11">
    <w:pPr>
      <w:ind w:right="425" w:firstLine="1560"/>
      <w:jc w:val="center"/>
      <w:rPr>
        <w:rFonts w:ascii="Arial" w:hAnsi="Arial"/>
        <w:sz w:val="28"/>
        <w:szCs w:val="32"/>
      </w:rPr>
    </w:pPr>
    <w:r>
      <w:rPr>
        <w:rFonts w:ascii="Arial" w:hAnsi="Arial"/>
        <w:sz w:val="28"/>
        <w:szCs w:val="32"/>
      </w:rPr>
      <w:t>Comissão de Justiça, Legislação e Redação</w:t>
    </w:r>
  </w:p>
  <w:p w:rsidR="00C1711E" w:rsidRDefault="00C1711E" w:rsidP="00C1711E">
    <w:pPr>
      <w:pStyle w:val="Cabealho"/>
      <w:tabs>
        <w:tab w:val="clear" w:pos="4252"/>
        <w:tab w:val="clear" w:pos="8504"/>
        <w:tab w:val="left" w:pos="2104"/>
      </w:tabs>
    </w:pPr>
    <w:r>
      <w:tab/>
    </w:r>
  </w:p>
  <w:p w:rsidR="00381E73" w:rsidRPr="00C1711E" w:rsidRDefault="00381E73" w:rsidP="00C171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F05E9"/>
    <w:multiLevelType w:val="hybridMultilevel"/>
    <w:tmpl w:val="83FCBC8C"/>
    <w:lvl w:ilvl="0" w:tplc="BE8A4410">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EE"/>
    <w:rsid w:val="000042C0"/>
    <w:rsid w:val="00025AC8"/>
    <w:rsid w:val="00026A75"/>
    <w:rsid w:val="00047EBB"/>
    <w:rsid w:val="00054884"/>
    <w:rsid w:val="0005636F"/>
    <w:rsid w:val="00064ECE"/>
    <w:rsid w:val="000743FB"/>
    <w:rsid w:val="00090E47"/>
    <w:rsid w:val="0009467C"/>
    <w:rsid w:val="00096FDA"/>
    <w:rsid w:val="000B09DB"/>
    <w:rsid w:val="000F2D6E"/>
    <w:rsid w:val="001445E2"/>
    <w:rsid w:val="00144B37"/>
    <w:rsid w:val="0016222B"/>
    <w:rsid w:val="001653A0"/>
    <w:rsid w:val="00180634"/>
    <w:rsid w:val="00184A5B"/>
    <w:rsid w:val="00193B15"/>
    <w:rsid w:val="001A3951"/>
    <w:rsid w:val="001E5403"/>
    <w:rsid w:val="001E6743"/>
    <w:rsid w:val="001F29F0"/>
    <w:rsid w:val="002033EF"/>
    <w:rsid w:val="00220FC5"/>
    <w:rsid w:val="002548C0"/>
    <w:rsid w:val="00262288"/>
    <w:rsid w:val="002710D4"/>
    <w:rsid w:val="00292D27"/>
    <w:rsid w:val="002C66E3"/>
    <w:rsid w:val="002D2C2C"/>
    <w:rsid w:val="002D2D14"/>
    <w:rsid w:val="002D59C0"/>
    <w:rsid w:val="002E10AB"/>
    <w:rsid w:val="002E3FDC"/>
    <w:rsid w:val="00312EE4"/>
    <w:rsid w:val="00313F7E"/>
    <w:rsid w:val="00315619"/>
    <w:rsid w:val="00326DF9"/>
    <w:rsid w:val="00333747"/>
    <w:rsid w:val="003413E3"/>
    <w:rsid w:val="003470C3"/>
    <w:rsid w:val="00374D0D"/>
    <w:rsid w:val="00381E73"/>
    <w:rsid w:val="00383047"/>
    <w:rsid w:val="003910D3"/>
    <w:rsid w:val="00392D70"/>
    <w:rsid w:val="003B39B7"/>
    <w:rsid w:val="003C0A7D"/>
    <w:rsid w:val="003E7DFC"/>
    <w:rsid w:val="003F1211"/>
    <w:rsid w:val="003F4C2E"/>
    <w:rsid w:val="00402F33"/>
    <w:rsid w:val="00403644"/>
    <w:rsid w:val="00405C77"/>
    <w:rsid w:val="00423F04"/>
    <w:rsid w:val="004422BA"/>
    <w:rsid w:val="00464265"/>
    <w:rsid w:val="004710EB"/>
    <w:rsid w:val="00480BFC"/>
    <w:rsid w:val="00484516"/>
    <w:rsid w:val="004A3F0A"/>
    <w:rsid w:val="004C50B3"/>
    <w:rsid w:val="004D6249"/>
    <w:rsid w:val="004F7994"/>
    <w:rsid w:val="00533B60"/>
    <w:rsid w:val="005359D3"/>
    <w:rsid w:val="00565B43"/>
    <w:rsid w:val="0056785D"/>
    <w:rsid w:val="00583878"/>
    <w:rsid w:val="00586DB5"/>
    <w:rsid w:val="00590E96"/>
    <w:rsid w:val="00593A42"/>
    <w:rsid w:val="00595FD0"/>
    <w:rsid w:val="005B1F20"/>
    <w:rsid w:val="005B4139"/>
    <w:rsid w:val="005C75A8"/>
    <w:rsid w:val="005E689D"/>
    <w:rsid w:val="005E7C5E"/>
    <w:rsid w:val="005F55EE"/>
    <w:rsid w:val="0060269A"/>
    <w:rsid w:val="006333DC"/>
    <w:rsid w:val="00637048"/>
    <w:rsid w:val="00664B3E"/>
    <w:rsid w:val="00670440"/>
    <w:rsid w:val="0068455A"/>
    <w:rsid w:val="00693EC7"/>
    <w:rsid w:val="006B2071"/>
    <w:rsid w:val="006B2529"/>
    <w:rsid w:val="006B33C5"/>
    <w:rsid w:val="006C1400"/>
    <w:rsid w:val="006C718B"/>
    <w:rsid w:val="006D58F0"/>
    <w:rsid w:val="006E25BB"/>
    <w:rsid w:val="00702AB8"/>
    <w:rsid w:val="007145F9"/>
    <w:rsid w:val="00722D7C"/>
    <w:rsid w:val="00724D26"/>
    <w:rsid w:val="0073425F"/>
    <w:rsid w:val="00782937"/>
    <w:rsid w:val="00794C8D"/>
    <w:rsid w:val="007E0248"/>
    <w:rsid w:val="007E32A8"/>
    <w:rsid w:val="007F6B81"/>
    <w:rsid w:val="008051AF"/>
    <w:rsid w:val="0080582F"/>
    <w:rsid w:val="008506D7"/>
    <w:rsid w:val="00870E03"/>
    <w:rsid w:val="0087129B"/>
    <w:rsid w:val="00874E7B"/>
    <w:rsid w:val="00883E7E"/>
    <w:rsid w:val="0088640D"/>
    <w:rsid w:val="00891D36"/>
    <w:rsid w:val="008B5F65"/>
    <w:rsid w:val="008F7C69"/>
    <w:rsid w:val="00912B07"/>
    <w:rsid w:val="0091533D"/>
    <w:rsid w:val="00921E3F"/>
    <w:rsid w:val="00983623"/>
    <w:rsid w:val="00984AD0"/>
    <w:rsid w:val="009B1081"/>
    <w:rsid w:val="009C4CAF"/>
    <w:rsid w:val="009E0C3A"/>
    <w:rsid w:val="009E48EC"/>
    <w:rsid w:val="009F14A0"/>
    <w:rsid w:val="00A007A6"/>
    <w:rsid w:val="00A26D33"/>
    <w:rsid w:val="00A52A8A"/>
    <w:rsid w:val="00A542EB"/>
    <w:rsid w:val="00A7327E"/>
    <w:rsid w:val="00A76A40"/>
    <w:rsid w:val="00A824C5"/>
    <w:rsid w:val="00AA7A4E"/>
    <w:rsid w:val="00AD1305"/>
    <w:rsid w:val="00AE77C0"/>
    <w:rsid w:val="00B02439"/>
    <w:rsid w:val="00B049F7"/>
    <w:rsid w:val="00B111AE"/>
    <w:rsid w:val="00B15D8C"/>
    <w:rsid w:val="00B40DA2"/>
    <w:rsid w:val="00B66117"/>
    <w:rsid w:val="00B70CFB"/>
    <w:rsid w:val="00B71F9E"/>
    <w:rsid w:val="00B77E1C"/>
    <w:rsid w:val="00B97709"/>
    <w:rsid w:val="00BC2123"/>
    <w:rsid w:val="00BD77C4"/>
    <w:rsid w:val="00BF334F"/>
    <w:rsid w:val="00C1711E"/>
    <w:rsid w:val="00C3637F"/>
    <w:rsid w:val="00C650A7"/>
    <w:rsid w:val="00C773FC"/>
    <w:rsid w:val="00C817FC"/>
    <w:rsid w:val="00C831D2"/>
    <w:rsid w:val="00CA372D"/>
    <w:rsid w:val="00CB0C14"/>
    <w:rsid w:val="00CC3B32"/>
    <w:rsid w:val="00CD2CEA"/>
    <w:rsid w:val="00CD4844"/>
    <w:rsid w:val="00CE12E9"/>
    <w:rsid w:val="00CE70C2"/>
    <w:rsid w:val="00CF7BD2"/>
    <w:rsid w:val="00D01470"/>
    <w:rsid w:val="00D56135"/>
    <w:rsid w:val="00D719F0"/>
    <w:rsid w:val="00DB683A"/>
    <w:rsid w:val="00DB752F"/>
    <w:rsid w:val="00DC4575"/>
    <w:rsid w:val="00DD41DF"/>
    <w:rsid w:val="00DD4729"/>
    <w:rsid w:val="00DF27E9"/>
    <w:rsid w:val="00DF7F7E"/>
    <w:rsid w:val="00E02F64"/>
    <w:rsid w:val="00E62FF8"/>
    <w:rsid w:val="00E63050"/>
    <w:rsid w:val="00E81987"/>
    <w:rsid w:val="00E85707"/>
    <w:rsid w:val="00E967CB"/>
    <w:rsid w:val="00EA195E"/>
    <w:rsid w:val="00ED04C4"/>
    <w:rsid w:val="00ED2C11"/>
    <w:rsid w:val="00ED4A3F"/>
    <w:rsid w:val="00ED55E4"/>
    <w:rsid w:val="00EE24F2"/>
    <w:rsid w:val="00EE7593"/>
    <w:rsid w:val="00EF4284"/>
    <w:rsid w:val="00EF4527"/>
    <w:rsid w:val="00F13B87"/>
    <w:rsid w:val="00F1498A"/>
    <w:rsid w:val="00F15F23"/>
    <w:rsid w:val="00F2085E"/>
    <w:rsid w:val="00F42FFD"/>
    <w:rsid w:val="00F55EAD"/>
    <w:rsid w:val="00F644F0"/>
    <w:rsid w:val="00F65143"/>
    <w:rsid w:val="00F754BD"/>
    <w:rsid w:val="00FB0CD5"/>
    <w:rsid w:val="00FC2192"/>
    <w:rsid w:val="00FC568D"/>
    <w:rsid w:val="00FF5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EC35CB3-1B8B-4BEA-8821-828EDACB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locked/>
    <w:rsid w:val="00292D27"/>
    <w:pPr>
      <w:keepNext/>
      <w:ind w:left="567" w:right="-374"/>
      <w:jc w:val="both"/>
      <w:outlineLvl w:val="0"/>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D27"/>
    <w:rPr>
      <w:rFonts w:ascii="Arial" w:hAnsi="Arial" w:cs="Arial"/>
      <w:b/>
      <w:bCs/>
      <w:sz w:val="24"/>
      <w:szCs w:val="24"/>
    </w:rPr>
  </w:style>
  <w:style w:type="paragraph" w:styleId="Ttulo">
    <w:name w:val="Title"/>
    <w:basedOn w:val="Normal"/>
    <w:link w:val="TtuloChar"/>
    <w:uiPriority w:val="99"/>
    <w:qFormat/>
    <w:pPr>
      <w:ind w:left="567" w:right="-374"/>
      <w:jc w:val="center"/>
    </w:pPr>
    <w:rPr>
      <w:b/>
      <w:bCs/>
      <w:sz w:val="40"/>
      <w:szCs w:val="40"/>
    </w:rPr>
  </w:style>
  <w:style w:type="character" w:customStyle="1" w:styleId="TtuloChar">
    <w:name w:val="Título Char"/>
    <w:basedOn w:val="Fontepargpadro"/>
    <w:link w:val="Ttulo"/>
    <w:uiPriority w:val="99"/>
    <w:locked/>
    <w:rPr>
      <w:rFonts w:ascii="Cambria" w:hAnsi="Cambria" w:cs="Times New Roman"/>
      <w:b/>
      <w:bCs/>
      <w:kern w:val="28"/>
      <w:sz w:val="32"/>
      <w:szCs w:val="32"/>
    </w:rPr>
  </w:style>
  <w:style w:type="table" w:styleId="Tabelacomgrade">
    <w:name w:val="Table Grid"/>
    <w:basedOn w:val="Tabelanormal"/>
    <w:uiPriority w:val="99"/>
    <w:rsid w:val="00EA19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92D27"/>
    <w:pPr>
      <w:tabs>
        <w:tab w:val="center" w:pos="4252"/>
        <w:tab w:val="right" w:pos="8504"/>
      </w:tabs>
    </w:pPr>
  </w:style>
  <w:style w:type="character" w:customStyle="1" w:styleId="CabealhoChar">
    <w:name w:val="Cabeçalho Char"/>
    <w:basedOn w:val="Fontepargpadro"/>
    <w:link w:val="Cabealho"/>
    <w:uiPriority w:val="99"/>
    <w:locked/>
    <w:rsid w:val="00292D27"/>
    <w:rPr>
      <w:rFonts w:cs="Times New Roman"/>
      <w:sz w:val="20"/>
      <w:szCs w:val="20"/>
    </w:rPr>
  </w:style>
  <w:style w:type="paragraph" w:styleId="Rodap">
    <w:name w:val="footer"/>
    <w:basedOn w:val="Normal"/>
    <w:link w:val="RodapChar"/>
    <w:uiPriority w:val="99"/>
    <w:unhideWhenUsed/>
    <w:rsid w:val="00292D27"/>
    <w:pPr>
      <w:tabs>
        <w:tab w:val="center" w:pos="4252"/>
        <w:tab w:val="right" w:pos="8504"/>
      </w:tabs>
    </w:pPr>
  </w:style>
  <w:style w:type="character" w:customStyle="1" w:styleId="RodapChar">
    <w:name w:val="Rodapé Char"/>
    <w:basedOn w:val="Fontepargpadro"/>
    <w:link w:val="Rodap"/>
    <w:uiPriority w:val="99"/>
    <w:locked/>
    <w:rsid w:val="00292D27"/>
    <w:rPr>
      <w:rFonts w:cs="Times New Roman"/>
      <w:sz w:val="20"/>
      <w:szCs w:val="20"/>
    </w:rPr>
  </w:style>
  <w:style w:type="paragraph" w:styleId="Textodenotaderodap">
    <w:name w:val="footnote text"/>
    <w:basedOn w:val="Normal"/>
    <w:link w:val="TextodenotaderodapChar"/>
    <w:uiPriority w:val="99"/>
    <w:rsid w:val="00B70CFB"/>
  </w:style>
  <w:style w:type="character" w:customStyle="1" w:styleId="TextodenotaderodapChar">
    <w:name w:val="Texto de nota de rodapé Char"/>
    <w:basedOn w:val="Fontepargpadro"/>
    <w:link w:val="Textodenotaderodap"/>
    <w:uiPriority w:val="99"/>
    <w:rsid w:val="00B70CFB"/>
    <w:rPr>
      <w:sz w:val="20"/>
      <w:szCs w:val="20"/>
    </w:rPr>
  </w:style>
  <w:style w:type="character" w:styleId="Refdenotaderodap">
    <w:name w:val="footnote reference"/>
    <w:basedOn w:val="Fontepargpadro"/>
    <w:uiPriority w:val="99"/>
    <w:rsid w:val="00B70CFB"/>
    <w:rPr>
      <w:vertAlign w:val="superscript"/>
    </w:rPr>
  </w:style>
  <w:style w:type="character" w:styleId="Hyperlink">
    <w:name w:val="Hyperlink"/>
    <w:basedOn w:val="Fontepargpadro"/>
    <w:uiPriority w:val="99"/>
    <w:rsid w:val="00B70CFB"/>
    <w:rPr>
      <w:color w:val="0000FF" w:themeColor="hyperlink"/>
      <w:u w:val="single"/>
    </w:rPr>
  </w:style>
  <w:style w:type="paragraph" w:styleId="PargrafodaLista">
    <w:name w:val="List Paragraph"/>
    <w:basedOn w:val="Normal"/>
    <w:uiPriority w:val="34"/>
    <w:qFormat/>
    <w:rsid w:val="00A76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5288">
      <w:bodyDiv w:val="1"/>
      <w:marLeft w:val="0"/>
      <w:marRight w:val="0"/>
      <w:marTop w:val="0"/>
      <w:marBottom w:val="0"/>
      <w:divBdr>
        <w:top w:val="none" w:sz="0" w:space="0" w:color="auto"/>
        <w:left w:val="none" w:sz="0" w:space="0" w:color="auto"/>
        <w:bottom w:val="none" w:sz="0" w:space="0" w:color="auto"/>
        <w:right w:val="none" w:sz="0" w:space="0" w:color="auto"/>
      </w:divBdr>
    </w:div>
    <w:div w:id="729617929">
      <w:marLeft w:val="0"/>
      <w:marRight w:val="0"/>
      <w:marTop w:val="0"/>
      <w:marBottom w:val="0"/>
      <w:divBdr>
        <w:top w:val="none" w:sz="0" w:space="0" w:color="auto"/>
        <w:left w:val="none" w:sz="0" w:space="0" w:color="auto"/>
        <w:bottom w:val="none" w:sz="0" w:space="0" w:color="auto"/>
        <w:right w:val="none" w:sz="0" w:space="0" w:color="auto"/>
      </w:divBdr>
    </w:div>
    <w:div w:id="1137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4369-1F07-400E-9E7C-3D0A56F0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DLOOM</dc:creator>
  <cp:lastModifiedBy>Valdemar M. Neto Mendonça</cp:lastModifiedBy>
  <cp:revision>2</cp:revision>
  <cp:lastPrinted>2015-04-27T20:59:00Z</cp:lastPrinted>
  <dcterms:created xsi:type="dcterms:W3CDTF">2019-09-10T20:03:00Z</dcterms:created>
  <dcterms:modified xsi:type="dcterms:W3CDTF">2019-09-10T20:03:00Z</dcterms:modified>
</cp:coreProperties>
</file>