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os procedimentos a serem adotados, no âmbito da gestão municipal do Sistema Único de Saúde, na prescrição e na dispensação de medicamentos, exames e de procedimentos de saúde,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10" w:rsidRDefault="000D0510" w:rsidP="00126850">
      <w:pPr>
        <w:spacing w:line="240" w:lineRule="auto"/>
      </w:pPr>
      <w:r>
        <w:separator/>
      </w:r>
    </w:p>
  </w:endnote>
  <w:endnote w:type="continuationSeparator" w:id="0">
    <w:p w:rsidR="000D0510" w:rsidRDefault="000D051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E76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E76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10" w:rsidRDefault="000D0510" w:rsidP="00126850">
      <w:pPr>
        <w:spacing w:line="240" w:lineRule="auto"/>
      </w:pPr>
      <w:r>
        <w:separator/>
      </w:r>
    </w:p>
  </w:footnote>
  <w:footnote w:type="continuationSeparator" w:id="0">
    <w:p w:rsidR="000D0510" w:rsidRDefault="000D051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0510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E767A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A08F-8129-4227-91FD-441EAB10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2019-09-05T23:42:00Z</dcterms:modified>
</cp:coreProperties>
</file>