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9.657, de 18 de julho de 2019 (reformula a Comissão Municipal de Combate ao Assédio e à Discriminação), de modo a prever excepcional hipótese de extensão do mandato dos membros titulares e suplentes e da diretoria.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C7" w:rsidRDefault="008916C7" w:rsidP="00126850">
      <w:pPr>
        <w:spacing w:line="240" w:lineRule="auto"/>
      </w:pPr>
      <w:r>
        <w:separator/>
      </w:r>
    </w:p>
  </w:endnote>
  <w:endnote w:type="continuationSeparator" w:id="0">
    <w:p w:rsidR="008916C7" w:rsidRDefault="008916C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A6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1A6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C7" w:rsidRDefault="008916C7" w:rsidP="00126850">
      <w:pPr>
        <w:spacing w:line="240" w:lineRule="auto"/>
      </w:pPr>
      <w:r>
        <w:separator/>
      </w:r>
    </w:p>
  </w:footnote>
  <w:footnote w:type="continuationSeparator" w:id="0">
    <w:p w:rsidR="008916C7" w:rsidRDefault="008916C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1A62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16C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1EAD-7CE2-4271-B233-1455AE2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2019-09-05T23:06:00Z</dcterms:modified>
</cp:coreProperties>
</file>