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367/2019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291/2019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THAINARA KAROLINE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da Estratégia de Saúde da Família”, a ser comemorado anualmente no dia 04 de outubro,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575B81" w:rsidRDefault="00575B8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75B81" w:rsidRPr="001B5DD7" w:rsidRDefault="00575B8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084" w:rsidRDefault="000E1084" w:rsidP="00126850">
      <w:pPr>
        <w:spacing w:line="240" w:lineRule="auto"/>
      </w:pPr>
      <w:r>
        <w:separator/>
      </w:r>
    </w:p>
  </w:endnote>
  <w:endnote w:type="continuationSeparator" w:id="0">
    <w:p w:rsidR="000E1084" w:rsidRDefault="000E108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75B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75B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084" w:rsidRDefault="000E1084" w:rsidP="00126850">
      <w:pPr>
        <w:spacing w:line="240" w:lineRule="auto"/>
      </w:pPr>
      <w:r>
        <w:separator/>
      </w:r>
    </w:p>
  </w:footnote>
  <w:footnote w:type="continuationSeparator" w:id="0">
    <w:p w:rsidR="000E1084" w:rsidRDefault="000E108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1084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5B81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5540-6B12-4DCE-9DDD-96DA1C8A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2019-09-05T21:36:00Z</dcterms:modified>
</cp:coreProperties>
</file>