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A7D41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B6392F" w:rsidRDefault="00B6392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ab/>
        <w:t xml:space="preserve">             </w:t>
      </w:r>
      <w:r w:rsidR="0073394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/</w:t>
      </w:r>
      <w:r w:rsidR="00EF045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="00EF0453">
        <w:rPr>
          <w:b/>
          <w:sz w:val="32"/>
          <w:szCs w:val="32"/>
        </w:rPr>
        <w:t>9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8718D7">
        <w:rPr>
          <w:rFonts w:asciiTheme="minorHAnsi" w:hAnsiTheme="minorHAnsi" w:cs="Arial"/>
          <w:sz w:val="22"/>
          <w:szCs w:val="22"/>
        </w:rPr>
        <w:t>9.152</w:t>
      </w:r>
      <w:r>
        <w:rPr>
          <w:rFonts w:asciiTheme="minorHAnsi" w:hAnsiTheme="minorHAnsi" w:cs="Arial"/>
          <w:sz w:val="22"/>
          <w:szCs w:val="22"/>
        </w:rPr>
        <w:t xml:space="preserve">, de </w:t>
      </w:r>
      <w:r w:rsidR="008718D7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8718D7">
        <w:rPr>
          <w:rFonts w:asciiTheme="minorHAnsi" w:hAnsiTheme="minorHAnsi" w:cs="Arial"/>
          <w:sz w:val="22"/>
          <w:szCs w:val="22"/>
        </w:rPr>
        <w:t>dez</w:t>
      </w:r>
      <w:r>
        <w:rPr>
          <w:rFonts w:asciiTheme="minorHAnsi" w:hAnsiTheme="minorHAnsi" w:cs="Arial"/>
          <w:sz w:val="22"/>
          <w:szCs w:val="22"/>
        </w:rPr>
        <w:t>embro de 201</w:t>
      </w:r>
      <w:r w:rsidR="008718D7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</w:t>
      </w:r>
      <w:proofErr w:type="gramStart"/>
      <w:r w:rsidR="008C0933" w:rsidRPr="00101B90">
        <w:rPr>
          <w:rFonts w:asciiTheme="minorHAnsi" w:hAnsiTheme="minorHAnsi" w:cs="Arial"/>
          <w:bCs/>
          <w:sz w:val="24"/>
          <w:szCs w:val="24"/>
        </w:rPr>
        <w:t>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8718D7">
        <w:rPr>
          <w:rFonts w:asciiTheme="minorHAnsi" w:hAnsiTheme="minorHAnsi" w:cs="Arial"/>
          <w:sz w:val="24"/>
          <w:szCs w:val="24"/>
        </w:rPr>
        <w:t xml:space="preserve"> </w:t>
      </w:r>
      <w:r w:rsidR="00172928">
        <w:rPr>
          <w:rFonts w:asciiTheme="minorHAnsi" w:hAnsiTheme="minorHAnsi" w:cs="Arial"/>
          <w:sz w:val="24"/>
          <w:szCs w:val="24"/>
        </w:rPr>
        <w:t>A</w:t>
      </w:r>
      <w:proofErr w:type="gramEnd"/>
      <w:r w:rsidR="00172928">
        <w:rPr>
          <w:rFonts w:asciiTheme="minorHAnsi" w:hAnsiTheme="minorHAnsi" w:cs="Arial"/>
          <w:sz w:val="24"/>
          <w:szCs w:val="24"/>
        </w:rPr>
        <w:t xml:space="preserve"> Lei nº </w:t>
      </w:r>
      <w:r w:rsidR="008718D7">
        <w:rPr>
          <w:rFonts w:asciiTheme="minorHAnsi" w:hAnsiTheme="minorHAnsi" w:cs="Arial"/>
          <w:sz w:val="24"/>
          <w:szCs w:val="24"/>
        </w:rPr>
        <w:t>9.152</w:t>
      </w:r>
      <w:r w:rsidR="00172928">
        <w:rPr>
          <w:rFonts w:asciiTheme="minorHAnsi" w:hAnsiTheme="minorHAnsi" w:cs="Arial"/>
          <w:sz w:val="24"/>
          <w:szCs w:val="24"/>
        </w:rPr>
        <w:t xml:space="preserve">, de </w:t>
      </w:r>
      <w:r w:rsidR="008718D7">
        <w:rPr>
          <w:rFonts w:asciiTheme="minorHAnsi" w:hAnsiTheme="minorHAnsi" w:cs="Arial"/>
          <w:sz w:val="24"/>
          <w:szCs w:val="24"/>
        </w:rPr>
        <w:t>6</w:t>
      </w:r>
      <w:r w:rsidR="00172928">
        <w:rPr>
          <w:rFonts w:asciiTheme="minorHAnsi" w:hAnsiTheme="minorHAnsi" w:cs="Arial"/>
          <w:sz w:val="24"/>
          <w:szCs w:val="24"/>
        </w:rPr>
        <w:t xml:space="preserve"> de </w:t>
      </w:r>
      <w:r w:rsidR="008718D7">
        <w:rPr>
          <w:rFonts w:asciiTheme="minorHAnsi" w:hAnsiTheme="minorHAnsi" w:cs="Arial"/>
          <w:sz w:val="24"/>
          <w:szCs w:val="24"/>
        </w:rPr>
        <w:t>dez</w:t>
      </w:r>
      <w:r w:rsidR="00172928">
        <w:rPr>
          <w:rFonts w:asciiTheme="minorHAnsi" w:hAnsiTheme="minorHAnsi" w:cs="Arial"/>
          <w:sz w:val="24"/>
          <w:szCs w:val="24"/>
        </w:rPr>
        <w:t>embro de 201</w:t>
      </w:r>
      <w:r w:rsidR="008718D7">
        <w:rPr>
          <w:rFonts w:asciiTheme="minorHAnsi" w:hAnsiTheme="minorHAnsi" w:cs="Arial"/>
          <w:sz w:val="24"/>
          <w:szCs w:val="24"/>
        </w:rPr>
        <w:t>7</w:t>
      </w:r>
      <w:r w:rsidR="00172928">
        <w:rPr>
          <w:rFonts w:asciiTheme="minorHAnsi" w:hAnsiTheme="minorHAnsi" w:cs="Arial"/>
          <w:sz w:val="24"/>
          <w:szCs w:val="24"/>
        </w:rPr>
        <w:t>, passa a vigorar com a seguinte alteraç</w:t>
      </w:r>
      <w:r w:rsidR="008718D7">
        <w:rPr>
          <w:rFonts w:asciiTheme="minorHAnsi" w:hAnsiTheme="minorHAnsi" w:cs="Arial"/>
          <w:sz w:val="24"/>
          <w:szCs w:val="24"/>
        </w:rPr>
        <w:t>ão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172928" w:rsidP="008718D7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8718D7" w:rsidRPr="008718D7">
        <w:rPr>
          <w:rFonts w:asciiTheme="minorHAnsi" w:hAnsiTheme="minorHAnsi" w:cs="Arial"/>
          <w:sz w:val="24"/>
          <w:szCs w:val="24"/>
        </w:rPr>
        <w:t>Art. 14.  A designação para as vagas de gerente atreladas à Gerência de Consultoria Legislativa e de Cerimonial e Eventos está condicionada ao provimento de cargos atrelados aos processos sob responsabilidade das respectivas unidades administrativas, sendo vedada qualquer designação na hipótese de a unidade possuir quantitativo total de servidores inferior a 3 servidores efetivos atuantes na atividade-fim da unidade organizacional.</w:t>
      </w:r>
      <w:r w:rsidR="008A0AD4">
        <w:rPr>
          <w:rFonts w:asciiTheme="minorHAnsi" w:hAnsiTheme="minorHAnsi" w:cs="Arial"/>
          <w:sz w:val="24"/>
          <w:szCs w:val="24"/>
        </w:rPr>
        <w:t>”</w:t>
      </w:r>
      <w:r w:rsidR="00980D15">
        <w:rPr>
          <w:rFonts w:asciiTheme="minorHAnsi" w:hAnsiTheme="minorHAnsi" w:cs="Arial"/>
          <w:sz w:val="24"/>
          <w:szCs w:val="24"/>
        </w:rPr>
        <w:t xml:space="preserve"> (NR)</w:t>
      </w:r>
    </w:p>
    <w:p w:rsidR="00BA5C95" w:rsidRPr="00101B90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718D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8718D7">
        <w:rPr>
          <w:rFonts w:asciiTheme="minorHAnsi" w:hAnsiTheme="minorHAnsi" w:cs="Arial"/>
          <w:sz w:val="24"/>
          <w:szCs w:val="24"/>
        </w:rPr>
        <w:t>03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718D7">
        <w:rPr>
          <w:rFonts w:asciiTheme="minorHAnsi" w:hAnsiTheme="minorHAnsi" w:cs="Arial"/>
          <w:sz w:val="24"/>
          <w:szCs w:val="24"/>
        </w:rPr>
        <w:t>set</w:t>
      </w:r>
      <w:r w:rsidR="008A0AD4">
        <w:rPr>
          <w:rFonts w:asciiTheme="minorHAnsi" w:hAnsiTheme="minorHAnsi" w:cs="Arial"/>
          <w:sz w:val="24"/>
          <w:szCs w:val="24"/>
        </w:rPr>
        <w:t>embr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F0453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718D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617E3B" w:rsidRPr="00101B90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:rsidR="00D26508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:rsidR="008718D7" w:rsidRPr="00101B90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8718D7" w:rsidRDefault="008718D7" w:rsidP="008718D7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8718D7">
        <w:rPr>
          <w:rFonts w:asciiTheme="minorHAnsi" w:hAnsiTheme="minorHAnsi" w:cs="Arial"/>
          <w:sz w:val="24"/>
          <w:szCs w:val="24"/>
        </w:rPr>
        <w:t xml:space="preserve">A presente propositura tem por objetivo </w:t>
      </w:r>
      <w:r>
        <w:rPr>
          <w:rFonts w:asciiTheme="minorHAnsi" w:hAnsiTheme="minorHAnsi" w:cs="Arial"/>
          <w:sz w:val="24"/>
          <w:szCs w:val="24"/>
        </w:rPr>
        <w:t>suprimir a cláusula de barreira para a</w:t>
      </w:r>
      <w:r w:rsidRPr="008718D7">
        <w:rPr>
          <w:rFonts w:asciiTheme="minorHAnsi" w:hAnsiTheme="minorHAnsi" w:cs="Arial"/>
          <w:sz w:val="24"/>
          <w:szCs w:val="24"/>
        </w:rPr>
        <w:t xml:space="preserve"> designação para a função de confiança de Procurador-Chefe</w:t>
      </w:r>
      <w:r>
        <w:rPr>
          <w:rFonts w:asciiTheme="minorHAnsi" w:hAnsiTheme="minorHAnsi" w:cs="Arial"/>
          <w:sz w:val="24"/>
          <w:szCs w:val="24"/>
        </w:rPr>
        <w:t>.</w:t>
      </w:r>
    </w:p>
    <w:p w:rsidR="00195BD6" w:rsidRDefault="00195BD6" w:rsidP="008718D7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partir desta alteração, tornar-se-á viável que a avaliação de desempenho dos Procuradores seja realizada </w:t>
      </w:r>
      <w:r w:rsidR="0061159E">
        <w:rPr>
          <w:rFonts w:asciiTheme="minorHAnsi" w:hAnsiTheme="minorHAnsi" w:cs="Arial"/>
          <w:sz w:val="24"/>
          <w:szCs w:val="24"/>
        </w:rPr>
        <w:t>perante órgão próprio, na figura do Procurador-Chefe, o qual, por sua vez, será avaliado – quanto ao exercício da função – pelo Chefe do Poder Legislativo. Estabelecida esta métrica, continua-se respeitando o padrão de avaliação do servidor pelo seu superior hierárquico imediato, obedece-se o modelo constitucional estadual imposto nos artigos 98 a 100 e garante a independência e autonomia da Procuradoria.</w:t>
      </w:r>
    </w:p>
    <w:p w:rsidR="008718D7" w:rsidRPr="008718D7" w:rsidRDefault="008718D7" w:rsidP="008718D7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8718D7">
        <w:rPr>
          <w:rFonts w:asciiTheme="minorHAnsi" w:hAnsiTheme="minorHAnsi" w:cs="Arial"/>
          <w:sz w:val="24"/>
          <w:szCs w:val="24"/>
        </w:rPr>
        <w:t xml:space="preserve">No ponto, convém destacar que tal medida é proposta em razão do </w:t>
      </w:r>
      <w:r w:rsidR="0061159E">
        <w:rPr>
          <w:rFonts w:asciiTheme="minorHAnsi" w:hAnsiTheme="minorHAnsi" w:cs="Arial"/>
          <w:sz w:val="24"/>
          <w:szCs w:val="24"/>
        </w:rPr>
        <w:t xml:space="preserve">ajuizamento da Ação Direta de Inconstitucionalidade nº </w:t>
      </w:r>
      <w:r w:rsidR="0061159E" w:rsidRPr="0061159E">
        <w:rPr>
          <w:rFonts w:asciiTheme="minorHAnsi" w:hAnsiTheme="minorHAnsi" w:cs="Arial"/>
          <w:sz w:val="24"/>
          <w:szCs w:val="24"/>
        </w:rPr>
        <w:t>2138645-10.2019.8.26.0000</w:t>
      </w:r>
      <w:r w:rsidRPr="008718D7">
        <w:rPr>
          <w:rFonts w:asciiTheme="minorHAnsi" w:hAnsiTheme="minorHAnsi" w:cs="Arial"/>
          <w:sz w:val="24"/>
          <w:szCs w:val="24"/>
        </w:rPr>
        <w:t xml:space="preserve">, </w:t>
      </w:r>
      <w:r w:rsidR="0061159E">
        <w:rPr>
          <w:rFonts w:asciiTheme="minorHAnsi" w:hAnsiTheme="minorHAnsi" w:cs="Arial"/>
          <w:sz w:val="24"/>
          <w:szCs w:val="24"/>
        </w:rPr>
        <w:t>proposta pel</w:t>
      </w:r>
      <w:r w:rsidRPr="008718D7">
        <w:rPr>
          <w:rFonts w:asciiTheme="minorHAnsi" w:hAnsiTheme="minorHAnsi" w:cs="Arial"/>
          <w:sz w:val="24"/>
          <w:szCs w:val="24"/>
        </w:rPr>
        <w:t>o Ministério Público do Estado de São Paulo, em que foi questionad</w:t>
      </w:r>
      <w:r w:rsidR="0061159E">
        <w:rPr>
          <w:rFonts w:asciiTheme="minorHAnsi" w:hAnsiTheme="minorHAnsi" w:cs="Arial"/>
          <w:sz w:val="24"/>
          <w:szCs w:val="24"/>
        </w:rPr>
        <w:t>a</w:t>
      </w:r>
      <w:r w:rsidRPr="008718D7">
        <w:rPr>
          <w:rFonts w:asciiTheme="minorHAnsi" w:hAnsiTheme="minorHAnsi" w:cs="Arial"/>
          <w:sz w:val="24"/>
          <w:szCs w:val="24"/>
        </w:rPr>
        <w:t xml:space="preserve">, dentre outros, a constitucionalidade </w:t>
      </w:r>
      <w:r w:rsidR="0061159E">
        <w:rPr>
          <w:rFonts w:ascii="Verdana" w:hAnsi="Verdana"/>
          <w:color w:val="000000"/>
        </w:rPr>
        <w:t xml:space="preserve">da </w:t>
      </w:r>
      <w:r w:rsidR="0061159E">
        <w:rPr>
          <w:rFonts w:ascii="Verdana" w:hAnsi="Verdana"/>
          <w:color w:val="000000"/>
        </w:rPr>
        <w:t>expressão</w:t>
      </w:r>
      <w:r w:rsidR="0061159E">
        <w:rPr>
          <w:rFonts w:ascii="Verdana" w:hAnsi="Verdana"/>
          <w:color w:val="000000"/>
        </w:rPr>
        <w:t xml:space="preserve"> "para a </w:t>
      </w:r>
      <w:r w:rsidR="0061159E">
        <w:rPr>
          <w:rFonts w:ascii="Verdana" w:hAnsi="Verdana"/>
          <w:color w:val="000000"/>
        </w:rPr>
        <w:t>função</w:t>
      </w:r>
      <w:r w:rsidR="0061159E">
        <w:rPr>
          <w:rFonts w:ascii="Verdana" w:hAnsi="Verdana"/>
          <w:color w:val="000000"/>
        </w:rPr>
        <w:t xml:space="preserve"> de </w:t>
      </w:r>
      <w:r w:rsidR="0061159E">
        <w:rPr>
          <w:rFonts w:ascii="Verdana" w:hAnsi="Verdana"/>
          <w:color w:val="000000"/>
        </w:rPr>
        <w:t xml:space="preserve">confiança de Procurador-Chefe" </w:t>
      </w:r>
      <w:r w:rsidR="0061159E">
        <w:rPr>
          <w:rFonts w:ascii="Verdana" w:hAnsi="Verdana"/>
          <w:color w:val="000000"/>
        </w:rPr>
        <w:t>contida no art. 14 da Lei n</w:t>
      </w:r>
      <w:r w:rsidR="0061159E">
        <w:rPr>
          <w:rFonts w:ascii="Verdana" w:hAnsi="Verdana"/>
          <w:color w:val="000000"/>
        </w:rPr>
        <w:t>º</w:t>
      </w:r>
      <w:r w:rsidR="0061159E">
        <w:rPr>
          <w:rFonts w:ascii="Verdana" w:hAnsi="Verdana"/>
          <w:color w:val="000000"/>
        </w:rPr>
        <w:t xml:space="preserve"> 9.152, de 06 de dezembro de 2017</w:t>
      </w:r>
      <w:r w:rsidRPr="008718D7">
        <w:rPr>
          <w:rFonts w:asciiTheme="minorHAnsi" w:hAnsiTheme="minorHAnsi" w:cs="Arial"/>
          <w:sz w:val="24"/>
          <w:szCs w:val="24"/>
        </w:rPr>
        <w:t>.</w:t>
      </w:r>
    </w:p>
    <w:p w:rsidR="00412036" w:rsidRDefault="008718D7" w:rsidP="008718D7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8718D7">
        <w:rPr>
          <w:rFonts w:asciiTheme="minorHAnsi" w:hAnsiTheme="minorHAnsi" w:cs="Arial"/>
          <w:sz w:val="24"/>
          <w:szCs w:val="24"/>
        </w:rPr>
        <w:t>Assim sendo, roga-se aos presentes pares seja a presente propositura favoravelmente apreciada.</w:t>
      </w:r>
    </w:p>
    <w:p w:rsidR="008718D7" w:rsidRDefault="008718D7" w:rsidP="008718D7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03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</w:t>
      </w:r>
      <w:r w:rsidRPr="00101B90">
        <w:rPr>
          <w:rFonts w:asciiTheme="minorHAnsi" w:hAnsiTheme="minorHAnsi" w:cs="Arial"/>
          <w:sz w:val="24"/>
          <w:szCs w:val="24"/>
        </w:rPr>
        <w:t>o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</w:p>
    <w:p w:rsidR="00320540" w:rsidRPr="00320540" w:rsidRDefault="00320540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41" w:rsidRDefault="000A7D41">
      <w:r>
        <w:separator/>
      </w:r>
    </w:p>
  </w:endnote>
  <w:endnote w:type="continuationSeparator" w:id="0">
    <w:p w:rsidR="000A7D41" w:rsidRDefault="000A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41" w:rsidRDefault="000A7D41">
      <w:r>
        <w:separator/>
      </w:r>
    </w:p>
  </w:footnote>
  <w:footnote w:type="continuationSeparator" w:id="0">
    <w:p w:rsidR="000A7D41" w:rsidRDefault="000A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A7D41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95BD6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3360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6B9F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159E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4AA0"/>
    <w:rsid w:val="00725F51"/>
    <w:rsid w:val="0073394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18D7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F0453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5855F70-742B-46F4-A512-03C0F3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49C0C-4551-4865-BBD7-9336FA11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82</cp:revision>
  <cp:lastPrinted>2014-06-03T12:58:00Z</cp:lastPrinted>
  <dcterms:created xsi:type="dcterms:W3CDTF">2016-04-12T14:32:00Z</dcterms:created>
  <dcterms:modified xsi:type="dcterms:W3CDTF">2019-09-03T18:48:00Z</dcterms:modified>
</cp:coreProperties>
</file>