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Regulamenta o Grupo de Análise e Aprovação de Projetos e Diretrizes Urbanísticas de Araraquara (Graproara), subordinado à Secretaria Municipal de Desenvolvimento Urbano, cujo objetivo é centralizar, coordenar, integrar e agilizar o ciclo de produção e o trâmite de análise dos projetos, dos empreendimentos, dos estudos e dos relatórios de impacto e viabilidade urbanística apresentados para apreciação da Administração Pública Municipal,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82" w:rsidRDefault="00E15E82" w:rsidP="00126850">
      <w:pPr>
        <w:spacing w:line="240" w:lineRule="auto"/>
      </w:pPr>
      <w:r>
        <w:separator/>
      </w:r>
    </w:p>
  </w:endnote>
  <w:endnote w:type="continuationSeparator" w:id="0">
    <w:p w:rsidR="00E15E82" w:rsidRDefault="00E15E8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26E8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26E8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82" w:rsidRDefault="00E15E82" w:rsidP="00126850">
      <w:pPr>
        <w:spacing w:line="240" w:lineRule="auto"/>
      </w:pPr>
      <w:r>
        <w:separator/>
      </w:r>
    </w:p>
  </w:footnote>
  <w:footnote w:type="continuationSeparator" w:id="0">
    <w:p w:rsidR="00E15E82" w:rsidRDefault="00E15E8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6E8E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15E82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C71E-D3DD-481C-9569-182606BE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2019-08-29T22:49:00Z</dcterms:modified>
</cp:coreProperties>
</file>