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0D5FFC" w:rsidRDefault="000D5FFC" w:rsidP="000D5FF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Vereador e Segundo Secretário Cabo Magal Verri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18 de 22 de dezembro de 1997 (Código de Posturas do Município de Araraquara), de modo a indicar que a distância mínima para a instalação de depósito de materiais recicláveis ou sucatas próximo a escolas, creches, postos de saúde e similares será medida em metros lineares.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0D5FFC" w:rsidRDefault="000D5FFC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0D5FFC" w:rsidRPr="00635C11" w:rsidRDefault="000D5FFC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Transportes, Habitação e Saneamento para manifestação.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72" w:rsidRDefault="00CD6272" w:rsidP="00126850">
      <w:pPr>
        <w:spacing w:line="240" w:lineRule="auto"/>
      </w:pPr>
      <w:r>
        <w:separator/>
      </w:r>
    </w:p>
  </w:endnote>
  <w:endnote w:type="continuationSeparator" w:id="0">
    <w:p w:rsidR="00CD6272" w:rsidRDefault="00CD627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D5FF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D5FF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72" w:rsidRDefault="00CD6272" w:rsidP="00126850">
      <w:pPr>
        <w:spacing w:line="240" w:lineRule="auto"/>
      </w:pPr>
      <w:r>
        <w:separator/>
      </w:r>
    </w:p>
  </w:footnote>
  <w:footnote w:type="continuationSeparator" w:id="0">
    <w:p w:rsidR="00CD6272" w:rsidRDefault="00CD627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5FFC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6272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3B4C-0A15-4A35-BE2E-6A9B1B40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2019-08-20T14:24:00Z</dcterms:modified>
</cp:coreProperties>
</file>