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021A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04665">
        <w:rPr>
          <w:rFonts w:ascii="Tahoma" w:hAnsi="Tahoma" w:cs="Tahoma"/>
          <w:b/>
          <w:sz w:val="32"/>
          <w:szCs w:val="32"/>
          <w:u w:val="single"/>
        </w:rPr>
        <w:t>260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04665">
        <w:rPr>
          <w:rFonts w:ascii="Tahoma" w:hAnsi="Tahoma" w:cs="Tahoma"/>
          <w:b/>
          <w:sz w:val="32"/>
          <w:szCs w:val="32"/>
          <w:u w:val="single"/>
        </w:rPr>
        <w:t>206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04665" w:rsidRPr="00504665" w:rsidRDefault="00504665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2937E1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2937E1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2937E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937E1">
        <w:rPr>
          <w:rFonts w:ascii="Calibri" w:hAnsi="Calibri" w:cs="Calibri"/>
          <w:sz w:val="22"/>
          <w:szCs w:val="22"/>
        </w:rPr>
        <w:t>Institui e inclui no Calendário Oficial de Eventos do Município de Araraquara o “</w:t>
      </w:r>
      <w:r>
        <w:rPr>
          <w:rFonts w:ascii="Calibri" w:hAnsi="Calibri" w:cs="Calibri"/>
          <w:sz w:val="22"/>
          <w:szCs w:val="22"/>
        </w:rPr>
        <w:t>Abril Grená</w:t>
      </w:r>
      <w:r w:rsidRPr="002937E1">
        <w:rPr>
          <w:rFonts w:ascii="Calibri" w:hAnsi="Calibri" w:cs="Calibri"/>
          <w:sz w:val="22"/>
          <w:szCs w:val="22"/>
        </w:rPr>
        <w:t>”, dedicado a ações de promoção de saúde bucal e prevenção de doenças bucais a serem realizadas anualmente no mês de abril</w:t>
      </w:r>
      <w:r>
        <w:rPr>
          <w:rFonts w:ascii="Calibri" w:hAnsi="Calibri" w:cs="Calibri"/>
          <w:sz w:val="22"/>
          <w:szCs w:val="22"/>
        </w:rPr>
        <w:t>,</w:t>
      </w:r>
      <w:r w:rsidRPr="002937E1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Pr="002937E1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C6D7E" w:rsidRPr="002937E1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>Art. 1</w:t>
      </w:r>
      <w:proofErr w:type="gramStart"/>
      <w:r w:rsidRPr="002937E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937E1">
        <w:rPr>
          <w:rFonts w:ascii="Calibri" w:hAnsi="Calibri" w:cs="Calibri"/>
          <w:sz w:val="24"/>
          <w:szCs w:val="22"/>
        </w:rPr>
        <w:t>Fica</w:t>
      </w:r>
      <w:proofErr w:type="gramEnd"/>
      <w:r w:rsidRPr="002937E1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</w:t>
      </w:r>
      <w:r>
        <w:rPr>
          <w:rFonts w:ascii="Calibri" w:hAnsi="Calibri" w:cs="Calibri"/>
          <w:sz w:val="24"/>
          <w:szCs w:val="22"/>
        </w:rPr>
        <w:t>Abril Grená</w:t>
      </w:r>
      <w:r w:rsidRPr="002937E1">
        <w:rPr>
          <w:rFonts w:ascii="Calibri" w:hAnsi="Calibri" w:cs="Calibri"/>
          <w:sz w:val="24"/>
          <w:szCs w:val="22"/>
        </w:rPr>
        <w:t>”, dedicado a ações de promoção de saúde bucal e prevenção de doenças bucais a serem realizadas anualmente no mês de abril, tendo como símbolo o laço grená.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>Art. 2</w:t>
      </w:r>
      <w:proofErr w:type="gramStart"/>
      <w:r w:rsidRPr="002937E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No</w:t>
      </w:r>
      <w:proofErr w:type="gramEnd"/>
      <w:r>
        <w:rPr>
          <w:rFonts w:ascii="Calibri" w:hAnsi="Calibri" w:cs="Calibri"/>
          <w:sz w:val="24"/>
          <w:szCs w:val="22"/>
        </w:rPr>
        <w:t xml:space="preserve"> mês “Abril Grená”</w:t>
      </w:r>
      <w:r w:rsidRPr="002937E1">
        <w:rPr>
          <w:rFonts w:ascii="Calibri" w:hAnsi="Calibri" w:cs="Calibri"/>
          <w:sz w:val="24"/>
          <w:szCs w:val="22"/>
        </w:rPr>
        <w:t xml:space="preserve"> poderão ser desenvolvidas ações à população, com os seguintes objetivos: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937E1"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ab/>
        <w:t>I – promover palestras e debates sobre a importância de se manter uma boa higiene bucal, ter uma alimentação saudável e se abster do uso do fumo e bebidas alcoólicas para se evitar doenças bucais;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937E1"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ab/>
        <w:t>II – promover ações educativas e preventivas que ajudem a reduzir a incidência de doenças bucais</w:t>
      </w:r>
      <w:r>
        <w:rPr>
          <w:rFonts w:ascii="Calibri" w:hAnsi="Calibri" w:cs="Calibri"/>
          <w:sz w:val="24"/>
          <w:szCs w:val="22"/>
        </w:rPr>
        <w:t>,</w:t>
      </w:r>
      <w:r w:rsidRPr="002937E1">
        <w:rPr>
          <w:rFonts w:ascii="Calibri" w:hAnsi="Calibri" w:cs="Calibri"/>
          <w:sz w:val="24"/>
          <w:szCs w:val="22"/>
        </w:rPr>
        <w:t xml:space="preserve"> como a cárie dentária, gengivite, doenças periodontais e câncer bucal;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937E1"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ab/>
        <w:t>III – orientar a população sobre a má oclusão e a importância do diagnóstico precoce para evitar seu agravamento e o aleitamento materno na prevenção dos distúrbios de oclusão;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937E1"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ab/>
        <w:t>IV – orientar a população quanto ao bruxismo e halitose;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937E1"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ab/>
        <w:t>V – orientar a população sobre a importância de consultar um cirurgião-dentista regularmente para a prevenção, diagnóstico precoce e pronto tratamento de doenças bucais;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937E1"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ab/>
        <w:t>VI – orientar a população sobre métodos de proteção específica contra as doenças bucais;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937E1"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ab/>
        <w:t>VII – orientar a população sobre meios de reabilitação quando necessário;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>VIII– estimular, sob o ponto de vista social e educacional, a concretização de ações, programas e projetos na área da educação e prevenção.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>Art. 3</w:t>
      </w:r>
      <w:proofErr w:type="gramStart"/>
      <w:r w:rsidRPr="002937E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937E1">
        <w:rPr>
          <w:rFonts w:ascii="Calibri" w:hAnsi="Calibri" w:cs="Calibri"/>
          <w:sz w:val="24"/>
          <w:szCs w:val="22"/>
        </w:rPr>
        <w:t>As</w:t>
      </w:r>
      <w:proofErr w:type="gramEnd"/>
      <w:r w:rsidRPr="002937E1">
        <w:rPr>
          <w:rFonts w:ascii="Calibri" w:hAnsi="Calibri" w:cs="Calibri"/>
          <w:sz w:val="24"/>
          <w:szCs w:val="22"/>
        </w:rPr>
        <w:t xml:space="preserve"> edificações públicas municipais serão incentivadas a, sempre que possível, iluminar suas fachadas na cor grená, durante todo o mês de abril.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>Art. 4</w:t>
      </w:r>
      <w:proofErr w:type="gramStart"/>
      <w:r w:rsidRPr="002937E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937E1">
        <w:rPr>
          <w:rFonts w:ascii="Calibri" w:hAnsi="Calibri" w:cs="Calibri"/>
          <w:sz w:val="24"/>
          <w:szCs w:val="22"/>
        </w:rPr>
        <w:t>Os</w:t>
      </w:r>
      <w:proofErr w:type="gramEnd"/>
      <w:r w:rsidRPr="002937E1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parceria com empresas de iniciativa privada ou governamental, sem acarretar ônus para o Município.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6D45F8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937E1">
        <w:rPr>
          <w:rFonts w:ascii="Calibri" w:hAnsi="Calibri" w:cs="Calibri"/>
          <w:sz w:val="24"/>
          <w:szCs w:val="22"/>
        </w:rPr>
        <w:t>Art. 5</w:t>
      </w:r>
      <w:proofErr w:type="gramStart"/>
      <w:r w:rsidRPr="002937E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937E1">
        <w:rPr>
          <w:rFonts w:ascii="Calibri" w:hAnsi="Calibri" w:cs="Calibri"/>
          <w:sz w:val="24"/>
          <w:szCs w:val="22"/>
        </w:rPr>
        <w:t>Esta</w:t>
      </w:r>
      <w:proofErr w:type="gramEnd"/>
      <w:r w:rsidRPr="002937E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937E1" w:rsidRPr="002937E1" w:rsidRDefault="002937E1" w:rsidP="002937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8671F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8671F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2937E1" w:rsidRDefault="005A56CA" w:rsidP="00D47EAB">
      <w:pPr>
        <w:rPr>
          <w:rFonts w:ascii="Calibri" w:hAnsi="Calibri" w:cs="Calibri"/>
          <w:sz w:val="15"/>
          <w:szCs w:val="15"/>
        </w:rPr>
      </w:pPr>
    </w:p>
    <w:p w:rsidR="001C6D7E" w:rsidRPr="002937E1" w:rsidRDefault="001C6D7E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021A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021A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937E1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21A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4665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174</cp:revision>
  <cp:lastPrinted>2018-06-26T22:41:00Z</cp:lastPrinted>
  <dcterms:created xsi:type="dcterms:W3CDTF">2016-08-16T19:55:00Z</dcterms:created>
  <dcterms:modified xsi:type="dcterms:W3CDTF">2019-08-06T17:44:00Z</dcterms:modified>
</cp:coreProperties>
</file>