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Reformula o Conselho Municipal LGBTQIA+, revoga a Lei nº 8.947, de 28 de abril de 2017 (Institui o Conselho Municipal LGBT),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47A71" w:rsidRDefault="00F47A7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47A71" w:rsidRPr="001B5DD7" w:rsidRDefault="00F47A7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 xml:space="preserve">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47A7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D8" w:rsidRDefault="00725CD8" w:rsidP="00126850">
      <w:pPr>
        <w:spacing w:line="240" w:lineRule="auto"/>
      </w:pPr>
      <w:r>
        <w:separator/>
      </w:r>
    </w:p>
  </w:endnote>
  <w:endnote w:type="continuationSeparator" w:id="0">
    <w:p w:rsidR="00725CD8" w:rsidRDefault="00725CD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7A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7A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D8" w:rsidRDefault="00725CD8" w:rsidP="00126850">
      <w:pPr>
        <w:spacing w:line="240" w:lineRule="auto"/>
      </w:pPr>
      <w:r>
        <w:separator/>
      </w:r>
    </w:p>
  </w:footnote>
  <w:footnote w:type="continuationSeparator" w:id="0">
    <w:p w:rsidR="00725CD8" w:rsidRDefault="00725CD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25CD8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47A71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5F4B5-3CE0-4C0F-8EB9-5950E8B0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2019-07-18T23:50:00Z</dcterms:modified>
</cp:coreProperties>
</file>