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Reformula o Conselho Municipal LGBTQIA+, revoga a Lei nº 8.947, de 28 de abril de 2017 (Institui o Conselho Municipal LGBT),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47A71" w:rsidRDefault="00F47A7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47A71" w:rsidRPr="001B5DD7" w:rsidRDefault="00F47A7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 xml:space="preserve">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47A7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CD8" w:rsidRDefault="00725CD8" w:rsidP="00126850">
      <w:pPr>
        <w:spacing w:line="240" w:lineRule="auto"/>
      </w:pPr>
      <w:r>
        <w:separator/>
      </w:r>
    </w:p>
  </w:endnote>
  <w:endnote w:type="continuationSeparator" w:id="0">
    <w:p w:rsidR="00725CD8" w:rsidRDefault="00725CD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7A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7A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CD8" w:rsidRDefault="00725CD8" w:rsidP="00126850">
      <w:pPr>
        <w:spacing w:line="240" w:lineRule="auto"/>
      </w:pPr>
      <w:r>
        <w:separator/>
      </w:r>
    </w:p>
  </w:footnote>
  <w:footnote w:type="continuationSeparator" w:id="0">
    <w:p w:rsidR="00725CD8" w:rsidRDefault="00725CD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25CD8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47A71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5F4B5-3CE0-4C0F-8EB9-5950E8B0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2019-07-18T23:50:00Z</dcterms:modified>
</cp:coreProperties>
</file>