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243/2019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310/2019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R$ 1.200.000,00 (um milhão e duzentos mil reais), para a manutenção dos serviços nas unidades de saúde e a transferência de recursos à Santa Casa de Araraquara,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12" w:rsidRDefault="00A54A12" w:rsidP="00126850">
      <w:pPr>
        <w:spacing w:line="240" w:lineRule="auto"/>
      </w:pPr>
      <w:r>
        <w:separator/>
      </w:r>
    </w:p>
  </w:endnote>
  <w:endnote w:type="continuationSeparator" w:id="0">
    <w:p w:rsidR="00A54A12" w:rsidRDefault="00A54A1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24AB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24AB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12" w:rsidRDefault="00A54A12" w:rsidP="00126850">
      <w:pPr>
        <w:spacing w:line="240" w:lineRule="auto"/>
      </w:pPr>
      <w:r>
        <w:separator/>
      </w:r>
    </w:p>
  </w:footnote>
  <w:footnote w:type="continuationSeparator" w:id="0">
    <w:p w:rsidR="00A54A12" w:rsidRDefault="00A54A1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4AB4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54A12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D583-BBAE-4125-AC79-9E988A94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2019-07-12T00:14:00Z</dcterms:modified>
</cp:coreProperties>
</file>