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R$ 202.019,16 (duzentos e dois mil, dezenove reais e dezesseis centavos), para atender despesas referentes à sinalização turística no Município,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proofErr w:type="spellStart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</w:t>
      </w:r>
      <w:proofErr w:type="spellEnd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48" w:rsidRDefault="00085348" w:rsidP="00126850">
      <w:pPr>
        <w:spacing w:line="240" w:lineRule="auto"/>
      </w:pPr>
      <w:r>
        <w:separator/>
      </w:r>
    </w:p>
  </w:endnote>
  <w:endnote w:type="continuationSeparator" w:id="0">
    <w:p w:rsidR="00085348" w:rsidRDefault="0008534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2A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B2A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48" w:rsidRDefault="00085348" w:rsidP="00126850">
      <w:pPr>
        <w:spacing w:line="240" w:lineRule="auto"/>
      </w:pPr>
      <w:r>
        <w:separator/>
      </w:r>
    </w:p>
  </w:footnote>
  <w:footnote w:type="continuationSeparator" w:id="0">
    <w:p w:rsidR="00085348" w:rsidRDefault="0008534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348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B2A9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CC55-CEEF-4DFC-AF1E-684CD44D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2019-07-11T23:06:00Z</dcterms:modified>
</cp:coreProperties>
</file>