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R$ 44.500,00 (quarenta e quatro mil e quinhentos reais), para a realização de campanhas educativas de trânsito,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CF" w:rsidRDefault="00D948CF" w:rsidP="00126850">
      <w:pPr>
        <w:spacing w:line="240" w:lineRule="auto"/>
      </w:pPr>
      <w:r>
        <w:separator/>
      </w:r>
    </w:p>
  </w:endnote>
  <w:endnote w:type="continuationSeparator" w:id="0">
    <w:p w:rsidR="00D948CF" w:rsidRDefault="00D948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F24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F24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CF" w:rsidRDefault="00D948CF" w:rsidP="00126850">
      <w:pPr>
        <w:spacing w:line="240" w:lineRule="auto"/>
      </w:pPr>
      <w:r>
        <w:separator/>
      </w:r>
    </w:p>
  </w:footnote>
  <w:footnote w:type="continuationSeparator" w:id="0">
    <w:p w:rsidR="00D948CF" w:rsidRDefault="00D948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24B7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948CF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CE68-F9DB-431A-BD54-11177056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2019-07-11T22:32:00Z</dcterms:modified>
</cp:coreProperties>
</file>