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BF6CCE" w:rsidRPr="00BF6CCE"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R$ 1.200.000,00 (um milhão e duzentos mil reais), para a manutenção dos serviços nas unidades de saúde e a transferência de recursos à Santa Casa de Araraquara, e dá outras providências.</w:t>
      </w:r>
      <w:bookmarkStart w:id="0" w:name="_GoBack"/>
      <w:bookmarkEnd w:id="0"/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F6CCE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A3" w:rsidRDefault="00E406A3" w:rsidP="00126850">
      <w:pPr>
        <w:spacing w:line="240" w:lineRule="auto"/>
      </w:pPr>
      <w:r>
        <w:separator/>
      </w:r>
    </w:p>
  </w:endnote>
  <w:endnote w:type="continuationSeparator" w:id="0">
    <w:p w:rsidR="00E406A3" w:rsidRDefault="00E406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F6C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F6C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A3" w:rsidRDefault="00E406A3" w:rsidP="00126850">
      <w:pPr>
        <w:spacing w:line="240" w:lineRule="auto"/>
      </w:pPr>
      <w:r>
        <w:separator/>
      </w:r>
    </w:p>
  </w:footnote>
  <w:footnote w:type="continuationSeparator" w:id="0">
    <w:p w:rsidR="00E406A3" w:rsidRDefault="00E406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CCE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6A3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EC12-7291-4AFD-8B7A-EA5CE4F0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2019-07-12T00:12:00Z</dcterms:modified>
</cp:coreProperties>
</file>