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290/2019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226/2019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R$ 1.941.000,00 (um milhão, novecentos e quarenta e um mil reais), para atender às despesas referentes às folhas de pagamentos até o final do exercício fiscal deste ano,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1F622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A4B" w:rsidRDefault="00EB2A4B" w:rsidP="00126850">
      <w:pPr>
        <w:spacing w:line="240" w:lineRule="auto"/>
      </w:pPr>
      <w:r>
        <w:separator/>
      </w:r>
    </w:p>
  </w:endnote>
  <w:endnote w:type="continuationSeparator" w:id="0">
    <w:p w:rsidR="00EB2A4B" w:rsidRDefault="00EB2A4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F622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F622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A4B" w:rsidRDefault="00EB2A4B" w:rsidP="00126850">
      <w:pPr>
        <w:spacing w:line="240" w:lineRule="auto"/>
      </w:pPr>
      <w:r>
        <w:separator/>
      </w:r>
    </w:p>
  </w:footnote>
  <w:footnote w:type="continuationSeparator" w:id="0">
    <w:p w:rsidR="00EB2A4B" w:rsidRDefault="00EB2A4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622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2A4B"/>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C549-8332-439F-8625-77156F63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951</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2019-06-25T11:53:00Z</dcterms:modified>
</cp:coreProperties>
</file>