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E3D5C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6FE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33B4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B78D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C07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0E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A4C5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F141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1F3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878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A306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C17B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009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F893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0B14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AA024E">
        <w:rPr>
          <w:rFonts w:ascii="Calibri" w:eastAsia="Arial Unicode MS" w:hAnsi="Calibri" w:cs="Calibri"/>
          <w:b/>
          <w:sz w:val="24"/>
          <w:szCs w:val="24"/>
        </w:rPr>
        <w:t>71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53288B">
        <w:rPr>
          <w:rFonts w:ascii="Calibri" w:eastAsia="Arial Unicode MS" w:hAnsi="Calibri" w:cs="Calibri"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762A28" w:rsidRDefault="00275F8F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76125C" w:rsidRPr="0076125C">
        <w:rPr>
          <w:rFonts w:ascii="Calibri" w:hAnsi="Calibri" w:cs="Calibri"/>
          <w:color w:val="000000"/>
          <w:sz w:val="24"/>
          <w:szCs w:val="24"/>
        </w:rPr>
        <w:t xml:space="preserve">Especial, </w:t>
      </w:r>
      <w:r w:rsidR="00762A28" w:rsidRPr="00762A28">
        <w:rPr>
          <w:rFonts w:ascii="Calibri" w:hAnsi="Calibri" w:cs="Calibri"/>
          <w:color w:val="000000"/>
          <w:sz w:val="24"/>
          <w:szCs w:val="24"/>
        </w:rPr>
        <w:t>até o limite de R$ 135.401,71 (cento e trinta e cinco mil, quatrocentos e um reais e setenta e um centavos), referente à devolução de recurso para construção de quadra, no âmbito do Programa de Aceleração do Crescimento (PAC 2) aprovado pelo Fundo Nacional de Desenvolvimento da Educação (FNDE)</w:t>
      </w:r>
      <w:r w:rsidR="00C52041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762A28" w:rsidRPr="00762A28" w:rsidRDefault="00762A28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 recursos previstos no presente Projeto de Lei decorrem</w:t>
      </w:r>
      <w:r w:rsidRPr="00762A28">
        <w:rPr>
          <w:rFonts w:ascii="Calibri" w:hAnsi="Calibri"/>
          <w:sz w:val="24"/>
          <w:szCs w:val="24"/>
        </w:rPr>
        <w:t xml:space="preserve"> do Processo nº 23400011824201321, PAC 2 nº 6914/2013</w:t>
      </w:r>
      <w:r>
        <w:rPr>
          <w:rFonts w:ascii="Calibri" w:hAnsi="Calibri"/>
          <w:sz w:val="24"/>
          <w:szCs w:val="24"/>
        </w:rPr>
        <w:t>, sendo</w:t>
      </w:r>
      <w:r w:rsidRPr="00762A28">
        <w:rPr>
          <w:rFonts w:ascii="Calibri" w:hAnsi="Calibri"/>
          <w:sz w:val="24"/>
          <w:szCs w:val="24"/>
        </w:rPr>
        <w:t xml:space="preserve"> referente</w:t>
      </w:r>
      <w:r>
        <w:rPr>
          <w:rFonts w:ascii="Calibri" w:hAnsi="Calibri"/>
          <w:sz w:val="24"/>
          <w:szCs w:val="24"/>
        </w:rPr>
        <w:t>s</w:t>
      </w:r>
      <w:r w:rsidRPr="00762A2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à</w:t>
      </w:r>
      <w:r w:rsidRPr="00762A28">
        <w:rPr>
          <w:rFonts w:ascii="Calibri" w:hAnsi="Calibri"/>
          <w:sz w:val="24"/>
          <w:szCs w:val="24"/>
        </w:rPr>
        <w:t xml:space="preserve"> construção de quadra coberta, cuja obra foi cancelada pelo Sistema Integrado de Monitoramento Execução e Controle (SIMEC). </w:t>
      </w:r>
      <w:r>
        <w:rPr>
          <w:rFonts w:ascii="Calibri" w:hAnsi="Calibri"/>
          <w:sz w:val="24"/>
          <w:szCs w:val="24"/>
        </w:rPr>
        <w:t xml:space="preserve"> No ponto, </w:t>
      </w:r>
      <w:r w:rsidRPr="00762A28">
        <w:rPr>
          <w:rFonts w:ascii="Calibri" w:hAnsi="Calibri"/>
          <w:sz w:val="24"/>
          <w:szCs w:val="24"/>
        </w:rPr>
        <w:t>foi dado o aceite no termo de compromisso no ano de 2013 para a construção da quadra</w:t>
      </w:r>
      <w:r>
        <w:rPr>
          <w:rFonts w:ascii="Calibri" w:hAnsi="Calibri"/>
          <w:sz w:val="24"/>
          <w:szCs w:val="24"/>
        </w:rPr>
        <w:t>, sendo que</w:t>
      </w:r>
      <w:r w:rsidRPr="00762A28">
        <w:rPr>
          <w:rFonts w:ascii="Calibri" w:hAnsi="Calibri"/>
          <w:sz w:val="24"/>
          <w:szCs w:val="24"/>
        </w:rPr>
        <w:t xml:space="preserve"> ação prevista no SIMEC para construção de quadra coberta exigia que a obra fosse realizada em uma escola que atendesse a educação de jovens e adultos. </w:t>
      </w:r>
    </w:p>
    <w:p w:rsidR="00704BE2" w:rsidRDefault="00762A28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62A28">
        <w:rPr>
          <w:rFonts w:ascii="Calibri" w:hAnsi="Calibri"/>
          <w:sz w:val="24"/>
          <w:szCs w:val="24"/>
        </w:rPr>
        <w:t>Considerando essa exigência</w:t>
      </w:r>
      <w:r>
        <w:rPr>
          <w:rFonts w:ascii="Calibri" w:hAnsi="Calibri"/>
          <w:sz w:val="24"/>
          <w:szCs w:val="24"/>
        </w:rPr>
        <w:t>,</w:t>
      </w:r>
      <w:r w:rsidRPr="00762A28">
        <w:rPr>
          <w:rFonts w:ascii="Calibri" w:hAnsi="Calibri"/>
          <w:sz w:val="24"/>
          <w:szCs w:val="24"/>
        </w:rPr>
        <w:t xml:space="preserve"> a única escola que poderia receber a quadra seria o Núcleo de Educa</w:t>
      </w:r>
      <w:r>
        <w:rPr>
          <w:rFonts w:ascii="Calibri" w:hAnsi="Calibri"/>
          <w:sz w:val="24"/>
          <w:szCs w:val="24"/>
        </w:rPr>
        <w:t>ção de Jovens e Adultos (NEJA). C</w:t>
      </w:r>
      <w:r w:rsidRPr="00762A28">
        <w:rPr>
          <w:rFonts w:ascii="Calibri" w:hAnsi="Calibri"/>
          <w:sz w:val="24"/>
          <w:szCs w:val="24"/>
        </w:rPr>
        <w:t xml:space="preserve">ontudo, </w:t>
      </w:r>
      <w:r>
        <w:rPr>
          <w:rFonts w:ascii="Calibri" w:hAnsi="Calibri"/>
          <w:sz w:val="24"/>
          <w:szCs w:val="24"/>
        </w:rPr>
        <w:t xml:space="preserve">como </w:t>
      </w:r>
      <w:r w:rsidRPr="00762A28">
        <w:rPr>
          <w:rFonts w:ascii="Calibri" w:hAnsi="Calibri"/>
          <w:sz w:val="24"/>
          <w:szCs w:val="24"/>
        </w:rPr>
        <w:t xml:space="preserve">em 2013 </w:t>
      </w:r>
      <w:r>
        <w:rPr>
          <w:rFonts w:ascii="Calibri" w:hAnsi="Calibri"/>
          <w:sz w:val="24"/>
          <w:szCs w:val="24"/>
        </w:rPr>
        <w:t xml:space="preserve">o NEJA </w:t>
      </w:r>
      <w:r w:rsidRPr="00762A28">
        <w:rPr>
          <w:rFonts w:ascii="Calibri" w:hAnsi="Calibri"/>
          <w:sz w:val="24"/>
          <w:szCs w:val="24"/>
        </w:rPr>
        <w:t>funcionava em um</w:t>
      </w:r>
      <w:r>
        <w:rPr>
          <w:rFonts w:ascii="Calibri" w:hAnsi="Calibri"/>
          <w:sz w:val="24"/>
          <w:szCs w:val="24"/>
        </w:rPr>
        <w:t xml:space="preserve"> prédio alugado pelo Município, foi elaborado </w:t>
      </w:r>
      <w:r w:rsidRPr="00762A28">
        <w:rPr>
          <w:rFonts w:ascii="Calibri" w:hAnsi="Calibri"/>
          <w:sz w:val="24"/>
          <w:szCs w:val="24"/>
        </w:rPr>
        <w:t>um projeto de reforma de um prédio antigo localizado no bairro Vila Xavier</w:t>
      </w:r>
      <w:r>
        <w:rPr>
          <w:rFonts w:ascii="Calibri" w:hAnsi="Calibri"/>
          <w:sz w:val="24"/>
          <w:szCs w:val="24"/>
        </w:rPr>
        <w:t>, o qual</w:t>
      </w:r>
      <w:r w:rsidRPr="00762A28">
        <w:rPr>
          <w:rFonts w:ascii="Calibri" w:hAnsi="Calibri"/>
          <w:sz w:val="24"/>
          <w:szCs w:val="24"/>
        </w:rPr>
        <w:t xml:space="preserve"> abrigaria definitivamente o NEJA. </w:t>
      </w:r>
    </w:p>
    <w:p w:rsidR="00704BE2" w:rsidRDefault="00762A28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62A28">
        <w:rPr>
          <w:rFonts w:ascii="Calibri" w:hAnsi="Calibri"/>
          <w:sz w:val="24"/>
          <w:szCs w:val="24"/>
        </w:rPr>
        <w:t>Esse prédio localizava-se muito próximo ao CER Eloá do Valle Quadros</w:t>
      </w:r>
      <w:r>
        <w:rPr>
          <w:rFonts w:ascii="Calibri" w:hAnsi="Calibri"/>
          <w:sz w:val="24"/>
          <w:szCs w:val="24"/>
        </w:rPr>
        <w:t>,</w:t>
      </w:r>
      <w:r w:rsidRPr="00762A28">
        <w:rPr>
          <w:rFonts w:ascii="Calibri" w:hAnsi="Calibri"/>
          <w:sz w:val="24"/>
          <w:szCs w:val="24"/>
        </w:rPr>
        <w:t xml:space="preserve"> cuja área livre é muito extensa. Sendo assim, </w:t>
      </w:r>
      <w:r>
        <w:rPr>
          <w:rFonts w:ascii="Calibri" w:hAnsi="Calibri"/>
          <w:sz w:val="24"/>
          <w:szCs w:val="24"/>
        </w:rPr>
        <w:t xml:space="preserve">foi solicitado </w:t>
      </w:r>
      <w:r w:rsidRPr="00762A28">
        <w:rPr>
          <w:rFonts w:ascii="Calibri" w:hAnsi="Calibri"/>
          <w:sz w:val="24"/>
          <w:szCs w:val="24"/>
        </w:rPr>
        <w:t xml:space="preserve">que a quadra fosse construída na área livre do CER Eloá, próxima a nova sede do NEJA, para que os alunos da educação de jovens e adultos pudessem usufruí-la. </w:t>
      </w:r>
    </w:p>
    <w:p w:rsidR="00704BE2" w:rsidRDefault="00762A28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62A28">
        <w:rPr>
          <w:rFonts w:ascii="Calibri" w:hAnsi="Calibri"/>
          <w:sz w:val="24"/>
          <w:szCs w:val="24"/>
        </w:rPr>
        <w:lastRenderedPageBreak/>
        <w:t xml:space="preserve">Contudo, </w:t>
      </w:r>
      <w:r w:rsidR="00704BE2">
        <w:rPr>
          <w:rFonts w:ascii="Calibri" w:hAnsi="Calibri"/>
          <w:sz w:val="24"/>
          <w:szCs w:val="24"/>
        </w:rPr>
        <w:t xml:space="preserve">o projeto </w:t>
      </w:r>
      <w:r w:rsidR="00704BE2" w:rsidRPr="00762A28">
        <w:rPr>
          <w:rFonts w:ascii="Calibri" w:hAnsi="Calibri"/>
          <w:sz w:val="24"/>
          <w:szCs w:val="24"/>
        </w:rPr>
        <w:t>de reforma d</w:t>
      </w:r>
      <w:r w:rsidR="00704BE2">
        <w:rPr>
          <w:rFonts w:ascii="Calibri" w:hAnsi="Calibri"/>
          <w:sz w:val="24"/>
          <w:szCs w:val="24"/>
        </w:rPr>
        <w:t>o</w:t>
      </w:r>
      <w:r w:rsidR="00704BE2" w:rsidRPr="00762A28">
        <w:rPr>
          <w:rFonts w:ascii="Calibri" w:hAnsi="Calibri"/>
          <w:sz w:val="24"/>
          <w:szCs w:val="24"/>
        </w:rPr>
        <w:t xml:space="preserve"> prédio localizado no bairro Vila Xavier </w:t>
      </w:r>
      <w:r w:rsidRPr="00762A28">
        <w:rPr>
          <w:rFonts w:ascii="Calibri" w:hAnsi="Calibri"/>
          <w:sz w:val="24"/>
          <w:szCs w:val="24"/>
        </w:rPr>
        <w:t>esse projeto não foi realizado, ou seja, o prédio não foi reformado e a quadra não p</w:t>
      </w:r>
      <w:r w:rsidR="00704BE2">
        <w:rPr>
          <w:rFonts w:ascii="Calibri" w:hAnsi="Calibri"/>
          <w:sz w:val="24"/>
          <w:szCs w:val="24"/>
        </w:rPr>
        <w:t>ô</w:t>
      </w:r>
      <w:r w:rsidRPr="00762A28">
        <w:rPr>
          <w:rFonts w:ascii="Calibri" w:hAnsi="Calibri"/>
          <w:sz w:val="24"/>
          <w:szCs w:val="24"/>
        </w:rPr>
        <w:t xml:space="preserve">de ser construída no local indicado. </w:t>
      </w:r>
    </w:p>
    <w:p w:rsidR="00762A28" w:rsidRPr="00762A28" w:rsidRDefault="00762A28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62A28">
        <w:rPr>
          <w:rFonts w:ascii="Calibri" w:hAnsi="Calibri"/>
          <w:sz w:val="24"/>
          <w:szCs w:val="24"/>
        </w:rPr>
        <w:t>Diant</w:t>
      </w:r>
      <w:r w:rsidR="00704BE2">
        <w:rPr>
          <w:rFonts w:ascii="Calibri" w:hAnsi="Calibri"/>
          <w:sz w:val="24"/>
          <w:szCs w:val="24"/>
        </w:rPr>
        <w:t xml:space="preserve">e dessa situação, foi solicitado </w:t>
      </w:r>
      <w:r w:rsidRPr="00762A28">
        <w:rPr>
          <w:rFonts w:ascii="Calibri" w:hAnsi="Calibri"/>
          <w:sz w:val="24"/>
          <w:szCs w:val="24"/>
        </w:rPr>
        <w:t>nos anos seguintes todas as possibilidades de prorrogação da obra o que foi concedido pelo SIMEC por três vezes. Em 2017</w:t>
      </w:r>
      <w:r w:rsidR="00704BE2">
        <w:rPr>
          <w:rFonts w:ascii="Calibri" w:hAnsi="Calibri"/>
          <w:sz w:val="24"/>
          <w:szCs w:val="24"/>
        </w:rPr>
        <w:t>, foi solicitado</w:t>
      </w:r>
      <w:r w:rsidRPr="00762A28">
        <w:rPr>
          <w:rFonts w:ascii="Calibri" w:hAnsi="Calibri"/>
          <w:sz w:val="24"/>
          <w:szCs w:val="24"/>
        </w:rPr>
        <w:t xml:space="preserve"> no </w:t>
      </w:r>
      <w:r w:rsidR="00704BE2">
        <w:rPr>
          <w:rFonts w:ascii="Calibri" w:hAnsi="Calibri"/>
          <w:sz w:val="24"/>
          <w:szCs w:val="24"/>
        </w:rPr>
        <w:t xml:space="preserve">SIMEC </w:t>
      </w:r>
      <w:r w:rsidRPr="00762A28">
        <w:rPr>
          <w:rFonts w:ascii="Calibri" w:hAnsi="Calibri"/>
          <w:sz w:val="24"/>
          <w:szCs w:val="24"/>
        </w:rPr>
        <w:t xml:space="preserve">a troca do terreno de construção para a </w:t>
      </w:r>
      <w:proofErr w:type="spellStart"/>
      <w:r w:rsidRPr="00762A28">
        <w:rPr>
          <w:rFonts w:ascii="Calibri" w:hAnsi="Calibri"/>
          <w:sz w:val="24"/>
          <w:szCs w:val="24"/>
        </w:rPr>
        <w:t>Emef</w:t>
      </w:r>
      <w:proofErr w:type="spellEnd"/>
      <w:r w:rsidRPr="00762A28">
        <w:rPr>
          <w:rFonts w:ascii="Calibri" w:hAnsi="Calibri"/>
          <w:sz w:val="24"/>
          <w:szCs w:val="24"/>
        </w:rPr>
        <w:t xml:space="preserve">. Rubens Cruz, a saber que nessa escola também atendemos a educação de jovens e adultos. Essa solicitação foi indeferida no sistema no ano de 2018. </w:t>
      </w:r>
    </w:p>
    <w:p w:rsidR="00762A28" w:rsidRDefault="00762A28" w:rsidP="00762A2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762A28">
        <w:rPr>
          <w:rFonts w:ascii="Calibri" w:hAnsi="Calibri"/>
          <w:sz w:val="24"/>
          <w:szCs w:val="24"/>
        </w:rPr>
        <w:t>No dia 29 de outubro de 2018</w:t>
      </w:r>
      <w:r w:rsidR="00704BE2">
        <w:rPr>
          <w:rFonts w:ascii="Calibri" w:hAnsi="Calibri"/>
          <w:sz w:val="24"/>
          <w:szCs w:val="24"/>
        </w:rPr>
        <w:t>, foi verificada</w:t>
      </w:r>
      <w:r w:rsidRPr="00762A28">
        <w:rPr>
          <w:rFonts w:ascii="Calibri" w:hAnsi="Calibri"/>
          <w:sz w:val="24"/>
          <w:szCs w:val="24"/>
        </w:rPr>
        <w:t xml:space="preserve"> </w:t>
      </w:r>
      <w:r w:rsidR="00704BE2">
        <w:rPr>
          <w:rFonts w:ascii="Calibri" w:hAnsi="Calibri"/>
          <w:sz w:val="24"/>
          <w:szCs w:val="24"/>
        </w:rPr>
        <w:t xml:space="preserve">no </w:t>
      </w:r>
      <w:r w:rsidRPr="00762A28">
        <w:rPr>
          <w:rFonts w:ascii="Calibri" w:hAnsi="Calibri"/>
          <w:sz w:val="24"/>
          <w:szCs w:val="24"/>
        </w:rPr>
        <w:t xml:space="preserve">status da obra </w:t>
      </w:r>
      <w:r w:rsidR="00704BE2">
        <w:rPr>
          <w:rFonts w:ascii="Calibri" w:hAnsi="Calibri"/>
          <w:sz w:val="24"/>
          <w:szCs w:val="24"/>
        </w:rPr>
        <w:t xml:space="preserve">junto ao SIMEC </w:t>
      </w:r>
      <w:r w:rsidRPr="00762A28">
        <w:rPr>
          <w:rFonts w:ascii="Calibri" w:hAnsi="Calibri"/>
          <w:sz w:val="24"/>
          <w:szCs w:val="24"/>
        </w:rPr>
        <w:t>a informação de que o administrador do sistema havia cancelado a obra</w:t>
      </w:r>
      <w:r w:rsidR="00704BE2">
        <w:rPr>
          <w:rFonts w:ascii="Calibri" w:hAnsi="Calibri"/>
          <w:sz w:val="24"/>
          <w:szCs w:val="24"/>
        </w:rPr>
        <w:t>, razão por que faz-se necessária, assim,</w:t>
      </w:r>
      <w:r w:rsidRPr="00762A28">
        <w:rPr>
          <w:rFonts w:ascii="Calibri" w:hAnsi="Calibri"/>
          <w:sz w:val="24"/>
          <w:szCs w:val="24"/>
        </w:rPr>
        <w:t xml:space="preserve"> a devolução da verba depositada em conta pelo FNDE.</w:t>
      </w:r>
    </w:p>
    <w:p w:rsidR="00275F8F" w:rsidRPr="00BE4DA8" w:rsidRDefault="00275F8F" w:rsidP="00762A2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6125C">
        <w:rPr>
          <w:rFonts w:ascii="Calibri" w:hAnsi="Calibri" w:cs="Calibri"/>
          <w:sz w:val="24"/>
          <w:szCs w:val="24"/>
        </w:rPr>
        <w:t>Especial</w:t>
      </w:r>
      <w:r w:rsidRPr="0076125C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Especial, </w:t>
      </w:r>
      <w:r w:rsidR="00762A28" w:rsidRPr="00762A28">
        <w:rPr>
          <w:rFonts w:ascii="Calibri" w:hAnsi="Calibri" w:cs="Calibri"/>
          <w:bCs/>
          <w:sz w:val="24"/>
          <w:szCs w:val="24"/>
        </w:rPr>
        <w:t>até o limite de R$ 135.401,71 (cento e trinta e cinco mil, quatrocentos e um reais e setenta e um centavos)</w:t>
      </w:r>
      <w:r w:rsidR="00762A28">
        <w:rPr>
          <w:rFonts w:ascii="Calibri" w:hAnsi="Calibri" w:cs="Calibri"/>
          <w:bCs/>
          <w:sz w:val="24"/>
          <w:szCs w:val="24"/>
        </w:rPr>
        <w:t>,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 referente </w:t>
      </w:r>
      <w:r w:rsidR="00762A28">
        <w:rPr>
          <w:rFonts w:ascii="Calibri" w:hAnsi="Calibri" w:cs="Calibri"/>
          <w:bCs/>
          <w:sz w:val="24"/>
          <w:szCs w:val="24"/>
        </w:rPr>
        <w:t xml:space="preserve">à </w:t>
      </w:r>
      <w:r w:rsidR="00762A28" w:rsidRPr="00762A28">
        <w:rPr>
          <w:rFonts w:ascii="Calibri" w:hAnsi="Calibri" w:cs="Calibri"/>
          <w:bCs/>
          <w:sz w:val="24"/>
          <w:szCs w:val="24"/>
        </w:rPr>
        <w:t>devolução de recurso para construção de quadra, no âmbito do Programa de Aceleração do Crescimento</w:t>
      </w:r>
      <w:r w:rsidR="00762A28">
        <w:rPr>
          <w:rFonts w:ascii="Calibri" w:hAnsi="Calibri" w:cs="Calibri"/>
          <w:bCs/>
          <w:sz w:val="24"/>
          <w:szCs w:val="24"/>
        </w:rPr>
        <w:t xml:space="preserve"> </w:t>
      </w:r>
      <w:r w:rsidR="00762A28" w:rsidRPr="00762A28">
        <w:rPr>
          <w:rFonts w:ascii="Calibri" w:hAnsi="Calibri" w:cs="Calibri"/>
          <w:bCs/>
          <w:sz w:val="24"/>
          <w:szCs w:val="24"/>
        </w:rPr>
        <w:t xml:space="preserve">(PAC 2) aprovado pelo Fundo Nacional de Desenvolvimento da Educação (FNDE), </w:t>
      </w:r>
      <w:r w:rsidR="00415E62" w:rsidRPr="0076125C">
        <w:rPr>
          <w:rFonts w:ascii="Calibri" w:hAnsi="Calibri"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426"/>
        <w:gridCol w:w="2268"/>
      </w:tblGrid>
      <w:tr w:rsidR="00762A28" w:rsidRPr="005C1EB9" w:rsidTr="006D1859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62A28" w:rsidRPr="005C1EB9" w:rsidTr="006D1859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762A28" w:rsidRPr="005C1EB9" w:rsidTr="006D1859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</w:t>
            </w: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EDUCAÇÃO FUNDAMENTAL</w:t>
            </w:r>
          </w:p>
        </w:tc>
      </w:tr>
      <w:tr w:rsidR="00762A28" w:rsidRPr="005C1EB9" w:rsidTr="006D1859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62A28" w:rsidRPr="005C1EB9" w:rsidTr="006D1859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2A28" w:rsidRPr="005C1EB9" w:rsidTr="006D1859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EDUCAÇÃO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2A28" w:rsidRPr="005C1EB9" w:rsidTr="006D1859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12.361.021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2A28" w:rsidRPr="005C1EB9" w:rsidTr="006D1859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12.361.021.2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762A28" w:rsidRPr="005C1EB9" w:rsidTr="006D1859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12.361.021.2.024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135.401,71</w:t>
            </w:r>
          </w:p>
        </w:tc>
      </w:tr>
      <w:tr w:rsidR="00762A28" w:rsidRPr="005C1EB9" w:rsidTr="006D1859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62A28" w:rsidRPr="005C1EB9" w:rsidTr="006D1859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3.3.90.93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INDENIZAÇÕES E RESTITUIÇÕES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135.401,71</w:t>
            </w:r>
          </w:p>
        </w:tc>
      </w:tr>
      <w:tr w:rsidR="00762A28" w:rsidRPr="005C1EB9" w:rsidTr="006D1859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5- TRANSFERÊNCIAS E CONVENIOS FEDERAIS – VINCULADOS</w:t>
            </w:r>
          </w:p>
        </w:tc>
      </w:tr>
    </w:tbl>
    <w:p w:rsidR="00415E62" w:rsidRDefault="00EA1A2E" w:rsidP="0076125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76125C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762A28">
        <w:rPr>
          <w:rFonts w:ascii="Calibri" w:hAnsi="Calibri" w:cs="Calibri"/>
          <w:sz w:val="24"/>
          <w:szCs w:val="24"/>
        </w:rPr>
        <w:t xml:space="preserve">a </w:t>
      </w:r>
      <w:r w:rsidR="00762A28" w:rsidRPr="00762A28">
        <w:rPr>
          <w:rFonts w:ascii="Calibri" w:hAnsi="Calibri" w:cs="Calibri"/>
          <w:sz w:val="24"/>
          <w:szCs w:val="24"/>
        </w:rPr>
        <w:t>anulação parcial da dotação orçamentária vigente e abaixo especificada: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425"/>
        <w:gridCol w:w="1843"/>
      </w:tblGrid>
      <w:tr w:rsidR="00762A28" w:rsidRPr="005C1EB9" w:rsidTr="006D1859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62A28" w:rsidRPr="005C1EB9" w:rsidTr="006D1859">
        <w:trPr>
          <w:trHeight w:val="2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762A28" w:rsidRPr="005C1EB9" w:rsidTr="006D1859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02.10.01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EDUCAÇÃO </w:t>
            </w:r>
            <w:r w:rsidRPr="005C1EB9">
              <w:rPr>
                <w:rFonts w:ascii="Calibri" w:hAnsi="Calibri"/>
                <w:b/>
                <w:bCs/>
                <w:sz w:val="24"/>
                <w:szCs w:val="24"/>
              </w:rPr>
              <w:t>INFANTIL</w:t>
            </w:r>
          </w:p>
        </w:tc>
      </w:tr>
      <w:tr w:rsidR="00762A28" w:rsidRPr="005C1EB9" w:rsidTr="006D1859">
        <w:trPr>
          <w:cantSplit/>
          <w:trHeight w:val="26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5C1EB9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62A28" w:rsidRPr="005C1EB9" w:rsidTr="006D1859">
        <w:trPr>
          <w:cantSplit/>
          <w:trHeight w:val="2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2A28" w:rsidRPr="005C1EB9" w:rsidTr="006D1859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2A28" w:rsidRPr="005C1EB9" w:rsidTr="006D1859">
        <w:trPr>
          <w:cantSplit/>
          <w:trHeight w:val="2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62A28" w:rsidRPr="005C1EB9" w:rsidTr="006D1859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right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762A28" w:rsidRPr="005C1EB9" w:rsidTr="006D1859">
        <w:trPr>
          <w:cantSplit/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12.365.0016.2.212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Manutenção das Atividades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135.401,71</w:t>
            </w:r>
          </w:p>
        </w:tc>
      </w:tr>
      <w:tr w:rsidR="00762A28" w:rsidRPr="005C1EB9" w:rsidTr="006D1859">
        <w:trPr>
          <w:cantSplit/>
          <w:trHeight w:val="20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5C1EB9">
              <w:rPr>
                <w:rFonts w:ascii="Calibri" w:hAnsi="Calibri"/>
                <w:b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62A28" w:rsidRPr="005C1EB9" w:rsidTr="006D1859">
        <w:trPr>
          <w:cantSplit/>
          <w:trHeight w:val="2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C1EB9">
              <w:rPr>
                <w:rFonts w:ascii="Calibri" w:hAnsi="Calibri"/>
                <w:color w:val="000000"/>
                <w:sz w:val="24"/>
                <w:szCs w:val="24"/>
              </w:rPr>
              <w:t>135.401,71</w:t>
            </w:r>
          </w:p>
        </w:tc>
      </w:tr>
      <w:tr w:rsidR="00762A28" w:rsidRPr="005C1EB9" w:rsidTr="006D1859">
        <w:trPr>
          <w:cantSplit/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28" w:rsidRPr="005C1EB9" w:rsidRDefault="00762A28" w:rsidP="006D18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C1EB9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EA1A2E" w:rsidRPr="0076125C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62A2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51264C" w:rsidRPr="0076125C">
        <w:rPr>
          <w:rFonts w:ascii="Calibri" w:hAnsi="Calibri"/>
          <w:sz w:val="24"/>
          <w:szCs w:val="24"/>
        </w:rPr>
        <w:t>3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762A28">
        <w:rPr>
          <w:rFonts w:ascii="Calibri" w:hAnsi="Calibri"/>
          <w:sz w:val="24"/>
          <w:szCs w:val="24"/>
        </w:rPr>
        <w:t>treze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62A28">
        <w:rPr>
          <w:rFonts w:ascii="Calibri" w:hAnsi="Calibri"/>
          <w:sz w:val="24"/>
          <w:szCs w:val="24"/>
        </w:rPr>
        <w:t xml:space="preserve">junho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27B" w:rsidRDefault="0061327B" w:rsidP="008166A0">
      <w:r>
        <w:separator/>
      </w:r>
    </w:p>
  </w:endnote>
  <w:endnote w:type="continuationSeparator" w:id="0">
    <w:p w:rsidR="0061327B" w:rsidRDefault="0061327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76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76265" w:rsidRPr="00E42A39">
      <w:rPr>
        <w:rFonts w:ascii="Calibri" w:hAnsi="Calibri"/>
        <w:b/>
        <w:bCs/>
        <w:sz w:val="24"/>
        <w:szCs w:val="24"/>
      </w:rPr>
      <w:fldChar w:fldCharType="separate"/>
    </w:r>
    <w:r w:rsidR="00D80FCB">
      <w:rPr>
        <w:rFonts w:ascii="Calibri" w:hAnsi="Calibri"/>
        <w:b/>
        <w:bCs/>
        <w:noProof/>
      </w:rPr>
      <w:t>4</w:t>
    </w:r>
    <w:r w:rsidR="0017626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76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76265" w:rsidRPr="00E42A39">
      <w:rPr>
        <w:rFonts w:ascii="Calibri" w:hAnsi="Calibri"/>
        <w:b/>
        <w:bCs/>
        <w:sz w:val="24"/>
        <w:szCs w:val="24"/>
      </w:rPr>
      <w:fldChar w:fldCharType="separate"/>
    </w:r>
    <w:r w:rsidR="00D80FCB">
      <w:rPr>
        <w:rFonts w:ascii="Calibri" w:hAnsi="Calibri"/>
        <w:b/>
        <w:bCs/>
        <w:noProof/>
      </w:rPr>
      <w:t>4</w:t>
    </w:r>
    <w:r w:rsidR="00176265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27B" w:rsidRDefault="0061327B" w:rsidP="008166A0">
      <w:r>
        <w:separator/>
      </w:r>
    </w:p>
  </w:footnote>
  <w:footnote w:type="continuationSeparator" w:id="0">
    <w:p w:rsidR="0061327B" w:rsidRDefault="0061327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76265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1057C"/>
    <w:rsid w:val="00314938"/>
    <w:rsid w:val="00335769"/>
    <w:rsid w:val="00342EBC"/>
    <w:rsid w:val="00356D1C"/>
    <w:rsid w:val="00356E71"/>
    <w:rsid w:val="00357603"/>
    <w:rsid w:val="0036229F"/>
    <w:rsid w:val="00362AC5"/>
    <w:rsid w:val="00362C5D"/>
    <w:rsid w:val="00364B03"/>
    <w:rsid w:val="00377746"/>
    <w:rsid w:val="00382997"/>
    <w:rsid w:val="00384C31"/>
    <w:rsid w:val="0038523B"/>
    <w:rsid w:val="00390779"/>
    <w:rsid w:val="003A57B0"/>
    <w:rsid w:val="003B2C2D"/>
    <w:rsid w:val="003E376C"/>
    <w:rsid w:val="003E3D5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8112F"/>
    <w:rsid w:val="00490080"/>
    <w:rsid w:val="00491DE5"/>
    <w:rsid w:val="00495F1E"/>
    <w:rsid w:val="004A29A6"/>
    <w:rsid w:val="004B7D9A"/>
    <w:rsid w:val="004F6D7C"/>
    <w:rsid w:val="00510E18"/>
    <w:rsid w:val="0051264C"/>
    <w:rsid w:val="00514D12"/>
    <w:rsid w:val="005230CD"/>
    <w:rsid w:val="0053288B"/>
    <w:rsid w:val="00535DAA"/>
    <w:rsid w:val="00536820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327B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04BE2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736EF"/>
    <w:rsid w:val="0077665E"/>
    <w:rsid w:val="00776790"/>
    <w:rsid w:val="00777B4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9F1B29"/>
    <w:rsid w:val="00A012B9"/>
    <w:rsid w:val="00A116FA"/>
    <w:rsid w:val="00A1271F"/>
    <w:rsid w:val="00A26F23"/>
    <w:rsid w:val="00A343A6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635E"/>
    <w:rsid w:val="00AB09CA"/>
    <w:rsid w:val="00AC5267"/>
    <w:rsid w:val="00AC54E2"/>
    <w:rsid w:val="00AD16EA"/>
    <w:rsid w:val="00AD6C74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3FB1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FCB"/>
    <w:rsid w:val="00DB340D"/>
    <w:rsid w:val="00DD015F"/>
    <w:rsid w:val="00DD098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CA84F0-B9BB-4EC1-B7B9-841910B1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A5634-E3E9-4D7C-B183-881AA31F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2019-06-13T15:19:00Z</cp:lastPrinted>
  <dcterms:created xsi:type="dcterms:W3CDTF">2019-06-13T15:19:00Z</dcterms:created>
  <dcterms:modified xsi:type="dcterms:W3CDTF">2019-06-13T15:19:00Z</dcterms:modified>
</cp:coreProperties>
</file>