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264/2019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207/2019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abrir um crédito adicional suplementar, até o limite de R$ 293.000,00 (duzentos e noventa e três mil reais), para a manutenção e serviços afetos aos cemitérios municipais,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5A6B0B">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69" w:rsidRDefault="007E5469" w:rsidP="00126850">
      <w:pPr>
        <w:spacing w:line="240" w:lineRule="auto"/>
      </w:pPr>
      <w:r>
        <w:separator/>
      </w:r>
    </w:p>
  </w:endnote>
  <w:endnote w:type="continuationSeparator" w:id="0">
    <w:p w:rsidR="007E5469" w:rsidRDefault="007E546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A6B0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A6B0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69" w:rsidRDefault="007E5469" w:rsidP="00126850">
      <w:pPr>
        <w:spacing w:line="240" w:lineRule="auto"/>
      </w:pPr>
      <w:r>
        <w:separator/>
      </w:r>
    </w:p>
  </w:footnote>
  <w:footnote w:type="continuationSeparator" w:id="0">
    <w:p w:rsidR="007E5469" w:rsidRDefault="007E546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A6B0B"/>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E5469"/>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6745-6045-4E65-B7E5-BD772117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970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2019-06-07T11:34:00Z</dcterms:modified>
</cp:coreProperties>
</file>