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229/2019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R$ 358.000,00 (trezentos e cinquenta e oito mil reais), destinado a investimentos na atenção básica e na assistência hospitalar e ambulatorial,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DF" w:rsidRDefault="00A87DDF" w:rsidP="00126850">
      <w:pPr>
        <w:spacing w:line="240" w:lineRule="auto"/>
      </w:pPr>
      <w:r>
        <w:separator/>
      </w:r>
    </w:p>
  </w:endnote>
  <w:endnote w:type="continuationSeparator" w:id="0">
    <w:p w:rsidR="00A87DDF" w:rsidRDefault="00A87DD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95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095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DF" w:rsidRDefault="00A87DDF" w:rsidP="00126850">
      <w:pPr>
        <w:spacing w:line="240" w:lineRule="auto"/>
      </w:pPr>
      <w:r>
        <w:separator/>
      </w:r>
    </w:p>
  </w:footnote>
  <w:footnote w:type="continuationSeparator" w:id="0">
    <w:p w:rsidR="00A87DDF" w:rsidRDefault="00A87DD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87DDF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95C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0592-6DA0-4296-8AD2-F39AF09D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2019-05-10T00:11:00Z</dcterms:modified>
</cp:coreProperties>
</file>