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A2" w:rsidRPr="00BE4DA8" w:rsidRDefault="00C32A69" w:rsidP="00B66FA2">
      <w:pPr>
        <w:rPr>
          <w:rFonts w:ascii="Calibri" w:eastAsia="Arial Unicode MS" w:hAnsi="Calibri" w:cs="Calibri"/>
          <w:sz w:val="24"/>
          <w:szCs w:val="24"/>
        </w:rPr>
      </w:pPr>
      <w:r w:rsidRPr="00C32A69">
        <w:rPr>
          <w:noProof/>
        </w:rPr>
        <w:pict>
          <v:rect id="Retângulo 16" o:spid="_x0000_s1039" style="position:absolute;margin-left:-6.9pt;margin-top:-6.85pt;width:140.1pt;height:28.45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C32A69">
        <w:rPr>
          <w:noProof/>
        </w:rPr>
        <w:pict>
          <v:rect id="Retângulo 15" o:spid="_x0000_s1026" style="position:absolute;margin-left:-6.9pt;margin-top:-6.85pt;width:113.65pt;height:28.4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C32A69">
        <w:rPr>
          <w:noProof/>
        </w:rPr>
        <w:pict>
          <v:rect id="Retângulo 14" o:spid="_x0000_s1027" style="position:absolute;margin-left:-6.9pt;margin-top:-6.85pt;width:113.65pt;height:28.4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C32A69">
        <w:rPr>
          <w:noProof/>
        </w:rPr>
        <w:pict>
          <v:rect id="Retângulo 13" o:spid="_x0000_s1028" style="position:absolute;margin-left:-6.9pt;margin-top:-6.85pt;width:113.65pt;height:28.4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C32A69">
        <w:rPr>
          <w:noProof/>
        </w:rPr>
        <w:pict>
          <v:rect id="Retângulo 12" o:spid="_x0000_s1029" style="position:absolute;margin-left:-6.9pt;margin-top:-6.85pt;width:113.65pt;height:28.4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C32A69">
        <w:rPr>
          <w:noProof/>
        </w:rPr>
        <w:pict>
          <v:rect id="Retângulo 11" o:spid="_x0000_s1030" style="position:absolute;margin-left:-6.9pt;margin-top:-6.85pt;width:113.65pt;height:28.4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C32A69">
        <w:rPr>
          <w:noProof/>
        </w:rPr>
        <w:pict>
          <v:rect id="Retângulo 10" o:spid="_x0000_s1031" style="position:absolute;margin-left:-6.9pt;margin-top:-6.85pt;width:113.65pt;height:28.4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C32A69">
        <w:rPr>
          <w:noProof/>
        </w:rPr>
        <w:pict>
          <v:rect id="Retângulo 9" o:spid="_x0000_s1032" style="position:absolute;margin-left:-6.9pt;margin-top:-6.85pt;width:113.65pt;height:28.4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C32A69">
        <w:rPr>
          <w:noProof/>
        </w:rPr>
        <w:pict>
          <v:rect id="Retângulo 8" o:spid="_x0000_s1033" style="position:absolute;margin-left:-6.9pt;margin-top:-6.85pt;width:113.65pt;height:28.4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C32A69">
        <w:rPr>
          <w:noProof/>
        </w:rPr>
        <w:pict>
          <v:rect id="Retângulo 7" o:spid="_x0000_s1034" style="position:absolute;margin-left:-6.9pt;margin-top:-6.85pt;width:113.65pt;height:28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C32A69">
        <w:rPr>
          <w:noProof/>
        </w:rPr>
        <w:pict>
          <v:rect id="Retângulo 6" o:spid="_x0000_s1035" style="position:absolute;margin-left:-6.9pt;margin-top:-6.85pt;width:113.65pt;height:28.45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C32A69">
        <w:rPr>
          <w:noProof/>
        </w:rPr>
        <w:pict>
          <v:rect id="Retângulo 5" o:spid="_x0000_s1036" style="position:absolute;margin-left:-6.9pt;margin-top:-6.85pt;width:113.65pt;height:28.4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C32A69">
        <w:rPr>
          <w:noProof/>
        </w:rPr>
        <w:pict>
          <v:rect id="Retângulo 4" o:spid="_x0000_s1037" style="position:absolute;margin-left:-6.9pt;margin-top:-6.85pt;width:113.65pt;height:28.4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C32A69">
        <w:rPr>
          <w:noProof/>
        </w:rPr>
        <w:pict>
          <v:rect id="Retângulo 3" o:spid="_x0000_s1038" style="position:absolute;margin-left:-6.9pt;margin-top:-6.85pt;width:113.65pt;height:28.4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B66FA2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B66FA2">
        <w:rPr>
          <w:rFonts w:ascii="Calibri" w:eastAsia="Arial Unicode MS" w:hAnsi="Calibri" w:cs="Calibri"/>
          <w:b/>
          <w:sz w:val="24"/>
          <w:szCs w:val="24"/>
        </w:rPr>
        <w:t>110</w:t>
      </w:r>
      <w:r w:rsidR="00B66FA2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B66FA2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B66FA2">
        <w:rPr>
          <w:rFonts w:ascii="Calibri" w:eastAsia="Arial Unicode MS" w:hAnsi="Calibri" w:cs="Calibri"/>
          <w:sz w:val="24"/>
          <w:szCs w:val="24"/>
        </w:rPr>
        <w:t xml:space="preserve">         </w:t>
      </w:r>
      <w:r w:rsidR="00B66FA2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B66FA2">
        <w:rPr>
          <w:rFonts w:ascii="Calibri" w:eastAsia="Arial Unicode MS" w:hAnsi="Calibri" w:cs="Calibri"/>
          <w:sz w:val="24"/>
          <w:szCs w:val="24"/>
        </w:rPr>
        <w:t>30</w:t>
      </w:r>
      <w:r w:rsidR="00B66FA2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66FA2">
        <w:rPr>
          <w:rFonts w:ascii="Calibri" w:eastAsia="Arial Unicode MS" w:hAnsi="Calibri" w:cs="Calibri"/>
          <w:sz w:val="24"/>
          <w:szCs w:val="24"/>
        </w:rPr>
        <w:t>abril</w:t>
      </w:r>
      <w:r w:rsidR="00B66FA2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B66FA2" w:rsidRDefault="00B66FA2" w:rsidP="00B66FA2">
      <w:pPr>
        <w:jc w:val="both"/>
        <w:rPr>
          <w:rFonts w:ascii="Calibri" w:hAnsi="Calibri" w:cs="Calibri"/>
          <w:sz w:val="24"/>
          <w:szCs w:val="24"/>
        </w:rPr>
      </w:pPr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B66FA2" w:rsidRPr="00BE4DA8" w:rsidRDefault="00B66FA2" w:rsidP="00B66FA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B66FA2" w:rsidRDefault="00B66FA2" w:rsidP="00B66FA2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66FA2" w:rsidRDefault="00B66FA2" w:rsidP="00B66FA2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sz w:val="24"/>
          <w:szCs w:val="24"/>
        </w:rPr>
        <w:t>Senhor Presidente:</w:t>
      </w:r>
    </w:p>
    <w:p w:rsidR="00B66FA2" w:rsidRPr="00B552DF" w:rsidRDefault="00B66FA2" w:rsidP="00B66FA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552DF">
        <w:rPr>
          <w:rFonts w:ascii="Calibri" w:eastAsia="Calibri" w:hAnsi="Calibri" w:cs="Calibri"/>
          <w:color w:val="000000"/>
          <w:sz w:val="24"/>
          <w:szCs w:val="24"/>
        </w:rPr>
        <w:t xml:space="preserve">Tenho a honra de submeter, por intermédio de Vossa Excelência, à apreciação dessa Egrégia Câmara Municipal, o Projeto de Lei que dispõe </w:t>
      </w:r>
      <w:r w:rsidRPr="00B552DF">
        <w:rPr>
          <w:rFonts w:ascii="Calibri" w:eastAsia="Calibri" w:hAnsi="Calibri" w:cs="Calibri"/>
          <w:sz w:val="24"/>
          <w:szCs w:val="24"/>
        </w:rPr>
        <w:t xml:space="preserve">sobre as Diretrizes Orçamentárias para a elaboração da Lei Orçamentária do exercício </w:t>
      </w:r>
      <w:r>
        <w:rPr>
          <w:rFonts w:cs="Calibri"/>
          <w:sz w:val="24"/>
          <w:szCs w:val="24"/>
        </w:rPr>
        <w:t>de 2020</w:t>
      </w:r>
      <w:r w:rsidRPr="00B552DF">
        <w:rPr>
          <w:rFonts w:ascii="Calibri" w:eastAsia="Calibri" w:hAnsi="Calibri" w:cs="Calibri"/>
          <w:sz w:val="24"/>
          <w:szCs w:val="24"/>
        </w:rPr>
        <w:t xml:space="preserve"> e dá outras providências.</w:t>
      </w:r>
    </w:p>
    <w:p w:rsidR="00B66FA2" w:rsidRPr="00B552DF" w:rsidRDefault="00B66FA2" w:rsidP="00B66FA2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552DF">
        <w:rPr>
          <w:rFonts w:ascii="Calibri" w:eastAsia="Calibri" w:hAnsi="Calibri" w:cs="Calibri"/>
          <w:color w:val="000000"/>
          <w:sz w:val="24"/>
          <w:szCs w:val="24"/>
        </w:rPr>
        <w:t xml:space="preserve">Observe-se que a proposta foi elaborada de acordo com as exigências contidas na Lei de Responsabilidade Fiscal, destacando-se o Anexo de Metas Fiscais para as receitas, despesas, resultado primário e montante da dívida pública para os </w:t>
      </w:r>
      <w:proofErr w:type="gramStart"/>
      <w:r w:rsidR="00685EA6"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 w:rsidR="00685EA6">
        <w:rPr>
          <w:rFonts w:ascii="Calibri" w:eastAsia="Calibri" w:hAnsi="Calibri" w:cs="Calibri"/>
          <w:color w:val="000000"/>
          <w:sz w:val="24"/>
          <w:szCs w:val="24"/>
        </w:rPr>
        <w:t xml:space="preserve"> (três) </w:t>
      </w:r>
      <w:r w:rsidRPr="00B552DF">
        <w:rPr>
          <w:rFonts w:ascii="Calibri" w:eastAsia="Calibri" w:hAnsi="Calibri" w:cs="Calibri"/>
          <w:color w:val="000000"/>
          <w:sz w:val="24"/>
          <w:szCs w:val="24"/>
        </w:rPr>
        <w:t>exercícios seguintes, atendendo assim o princípio do equilíbrio orçamentário, princípio fundamental das finanças públicas.</w:t>
      </w:r>
    </w:p>
    <w:p w:rsidR="00B66FA2" w:rsidRPr="00B552DF" w:rsidRDefault="00B66FA2" w:rsidP="00B66FA2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552DF">
        <w:rPr>
          <w:rFonts w:ascii="Calibri" w:eastAsia="Calibri" w:hAnsi="Calibri" w:cs="Calibri"/>
          <w:color w:val="000000"/>
          <w:sz w:val="24"/>
          <w:szCs w:val="24"/>
        </w:rPr>
        <w:t>Sendo assim, esperando que este projeto permita uma discussão democrática entre</w:t>
      </w:r>
      <w:r>
        <w:rPr>
          <w:rFonts w:cs="Calibri"/>
          <w:color w:val="000000"/>
          <w:sz w:val="24"/>
          <w:szCs w:val="24"/>
        </w:rPr>
        <w:t xml:space="preserve"> os Poderes</w:t>
      </w:r>
      <w:r w:rsidRPr="00B552DF">
        <w:rPr>
          <w:rFonts w:ascii="Calibri" w:eastAsia="Calibri" w:hAnsi="Calibri" w:cs="Calibri"/>
          <w:color w:val="000000"/>
          <w:sz w:val="24"/>
          <w:szCs w:val="24"/>
        </w:rPr>
        <w:t xml:space="preserve"> Executivo e Legislativo, solicito a gentileza da apreciação da matéria dentro do prazo previsto no artigo 220 da Lei Orgânica do Município de Araraquara.</w:t>
      </w:r>
    </w:p>
    <w:p w:rsidR="00B66FA2" w:rsidRPr="00B552DF" w:rsidRDefault="00B66FA2" w:rsidP="00B66FA2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552DF">
        <w:rPr>
          <w:rFonts w:ascii="Calibri" w:eastAsia="Calibri" w:hAnsi="Calibri" w:cs="Calibri"/>
          <w:color w:val="000000"/>
          <w:sz w:val="24"/>
          <w:szCs w:val="24"/>
        </w:rPr>
        <w:t>Nesta oportunidade, renovo a Vossa Excelência e demais Vereadores, os protestos de minha elevada estima e distinta consideração.</w:t>
      </w:r>
    </w:p>
    <w:p w:rsidR="00B66FA2" w:rsidRPr="00B552DF" w:rsidRDefault="00B66FA2" w:rsidP="00B66FA2">
      <w:pP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552DF">
        <w:rPr>
          <w:rFonts w:ascii="Calibri" w:eastAsia="Calibri" w:hAnsi="Calibri" w:cs="Calibri"/>
          <w:color w:val="000000"/>
          <w:sz w:val="24"/>
          <w:szCs w:val="24"/>
        </w:rPr>
        <w:t>Atenciosamente,</w:t>
      </w:r>
    </w:p>
    <w:p w:rsidR="00B66FA2" w:rsidRPr="00BE4DA8" w:rsidRDefault="00B66FA2" w:rsidP="00B66FA2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66FA2" w:rsidRPr="00BE4DA8" w:rsidRDefault="00B66FA2" w:rsidP="00B66FA2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B66FA2" w:rsidRPr="00BE4DA8" w:rsidRDefault="00B66FA2" w:rsidP="00B66FA2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B66FA2" w:rsidRPr="00CA53C0" w:rsidRDefault="00B66FA2" w:rsidP="00B66FA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7D756A">
        <w:rPr>
          <w:rFonts w:eastAsia="Times New Roman" w:cstheme="minorHAnsi"/>
          <w:sz w:val="32"/>
          <w:szCs w:val="32"/>
          <w:lang w:eastAsia="pt-BR"/>
        </w:rPr>
        <w:t> </w:t>
      </w:r>
    </w:p>
    <w:p w:rsidR="00DE5E61" w:rsidRPr="00B66FA2" w:rsidRDefault="00DE5E61" w:rsidP="00B66FA2">
      <w:pPr>
        <w:spacing w:before="120" w:after="120" w:line="360" w:lineRule="auto"/>
        <w:ind w:left="3402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Dispõe sobre as Diretrizes Orçamentárias para a elaboração da Lei Orçamentária do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e dá outras providências.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E5E61" w:rsidRPr="00B66FA2" w:rsidRDefault="00DE5E61" w:rsidP="00B66FA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I</w:t>
      </w:r>
    </w:p>
    <w:p w:rsidR="00DE5E61" w:rsidRDefault="00DE5E61" w:rsidP="00B66FA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DAS DIRETRIZES GERAIS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b/>
          <w:sz w:val="24"/>
          <w:szCs w:val="24"/>
          <w:lang w:eastAsia="pt-BR"/>
        </w:rPr>
        <w:t> Art. 1º</w:t>
      </w:r>
      <w:r w:rsidR="00685EA6">
        <w:rPr>
          <w:rFonts w:eastAsia="Times New Roman" w:cstheme="minorHAnsi"/>
          <w:sz w:val="24"/>
          <w:szCs w:val="24"/>
          <w:lang w:eastAsia="pt-BR"/>
        </w:rPr>
        <w:t xml:space="preserve"> Nos termos do § 2º do artigo 165 da </w:t>
      </w:r>
      <w:hyperlink r:id="rId7" w:history="1">
        <w:r w:rsidRPr="00B66FA2">
          <w:rPr>
            <w:rFonts w:eastAsia="Times New Roman" w:cstheme="minorHAnsi"/>
            <w:sz w:val="24"/>
            <w:szCs w:val="24"/>
            <w:lang w:eastAsia="pt-BR"/>
          </w:rPr>
          <w:t xml:space="preserve">Constituição </w:t>
        </w:r>
        <w:r w:rsidR="008C02C2">
          <w:rPr>
            <w:rFonts w:eastAsia="Times New Roman" w:cstheme="minorHAnsi"/>
            <w:sz w:val="24"/>
            <w:szCs w:val="24"/>
            <w:lang w:eastAsia="pt-BR"/>
          </w:rPr>
          <w:t xml:space="preserve">da República </w:t>
        </w:r>
        <w:r w:rsidRPr="00B66FA2">
          <w:rPr>
            <w:rFonts w:eastAsia="Times New Roman" w:cstheme="minorHAnsi"/>
            <w:sz w:val="24"/>
            <w:szCs w:val="24"/>
            <w:lang w:eastAsia="pt-BR"/>
          </w:rPr>
          <w:t>Federa</w:t>
        </w:r>
      </w:hyperlink>
      <w:r w:rsidR="008C02C2">
        <w:rPr>
          <w:sz w:val="24"/>
          <w:szCs w:val="24"/>
        </w:rPr>
        <w:t>tiva do Brasil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85EA6">
        <w:rPr>
          <w:rFonts w:eastAsia="Times New Roman" w:cstheme="minorHAnsi"/>
          <w:sz w:val="24"/>
          <w:szCs w:val="24"/>
          <w:lang w:eastAsia="pt-BR"/>
        </w:rPr>
        <w:t xml:space="preserve">da </w:t>
      </w:r>
      <w:hyperlink r:id="rId8" w:history="1">
        <w:r w:rsidRPr="00B66FA2">
          <w:rPr>
            <w:rFonts w:eastAsia="Times New Roman" w:cstheme="minorHAnsi"/>
            <w:sz w:val="24"/>
            <w:szCs w:val="24"/>
            <w:lang w:eastAsia="pt-BR"/>
          </w:rPr>
          <w:t xml:space="preserve">Lei </w:t>
        </w:r>
        <w:r w:rsidR="00685EA6">
          <w:rPr>
            <w:rFonts w:eastAsia="Times New Roman" w:cstheme="minorHAnsi"/>
            <w:sz w:val="24"/>
            <w:szCs w:val="24"/>
            <w:lang w:eastAsia="pt-BR"/>
          </w:rPr>
          <w:t xml:space="preserve">Federal </w:t>
        </w:r>
        <w:r w:rsidRPr="00B66FA2">
          <w:rPr>
            <w:rFonts w:eastAsia="Times New Roman" w:cstheme="minorHAnsi"/>
            <w:sz w:val="24"/>
            <w:szCs w:val="24"/>
            <w:lang w:eastAsia="pt-BR"/>
          </w:rPr>
          <w:t>n° 4.320</w:t>
        </w:r>
        <w:r w:rsidR="00685EA6">
          <w:rPr>
            <w:rFonts w:eastAsia="Times New Roman" w:cstheme="minorHAnsi"/>
            <w:sz w:val="24"/>
            <w:szCs w:val="24"/>
            <w:lang w:eastAsia="pt-BR"/>
          </w:rPr>
          <w:t>, de 17 de março de 19</w:t>
        </w:r>
        <w:r w:rsidRPr="00B66FA2">
          <w:rPr>
            <w:rFonts w:eastAsia="Times New Roman" w:cstheme="minorHAnsi"/>
            <w:sz w:val="24"/>
            <w:szCs w:val="24"/>
            <w:lang w:eastAsia="pt-BR"/>
          </w:rPr>
          <w:t>64</w:t>
        </w:r>
      </w:hyperlink>
      <w:r w:rsidRPr="00B66FA2">
        <w:rPr>
          <w:rFonts w:eastAsia="Times New Roman" w:cstheme="minorHAnsi"/>
          <w:sz w:val="24"/>
          <w:szCs w:val="24"/>
          <w:lang w:eastAsia="pt-BR"/>
        </w:rPr>
        <w:t xml:space="preserve"> e da Lei Orgânica do Município</w:t>
      </w:r>
      <w:r w:rsidR="00685EA6">
        <w:rPr>
          <w:rFonts w:eastAsia="Times New Roman" w:cstheme="minorHAnsi"/>
          <w:sz w:val="24"/>
          <w:szCs w:val="24"/>
          <w:lang w:eastAsia="pt-BR"/>
        </w:rPr>
        <w:t xml:space="preserve"> de Araraquara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, esta </w:t>
      </w:r>
      <w:r w:rsidR="00685EA6">
        <w:rPr>
          <w:rFonts w:eastAsia="Times New Roman" w:cstheme="minorHAnsi"/>
          <w:sz w:val="24"/>
          <w:szCs w:val="24"/>
          <w:lang w:eastAsia="pt-BR"/>
        </w:rPr>
        <w:t>l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ei fixa as diretrizes orçamentárias do Município para 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, orienta a elaboração da respectiva </w:t>
      </w:r>
      <w:r w:rsidR="00DB4D84" w:rsidRPr="00B66FA2">
        <w:rPr>
          <w:rFonts w:eastAsia="Times New Roman" w:cstheme="minorHAnsi"/>
          <w:sz w:val="24"/>
          <w:szCs w:val="24"/>
          <w:lang w:eastAsia="pt-BR"/>
        </w:rPr>
        <w:t>L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DB4D84" w:rsidRPr="00B66FA2">
        <w:rPr>
          <w:rFonts w:eastAsia="Times New Roman" w:cstheme="minorHAnsi"/>
          <w:sz w:val="24"/>
          <w:szCs w:val="24"/>
          <w:lang w:eastAsia="pt-BR"/>
        </w:rPr>
        <w:t>O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rçamentária </w:t>
      </w:r>
      <w:r w:rsidR="00DB4D84" w:rsidRPr="00B66FA2">
        <w:rPr>
          <w:rFonts w:eastAsia="Times New Roman" w:cstheme="minorHAnsi"/>
          <w:sz w:val="24"/>
          <w:szCs w:val="24"/>
          <w:lang w:eastAsia="pt-BR"/>
        </w:rPr>
        <w:t>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nual, </w:t>
      </w:r>
      <w:r w:rsidR="006A439B" w:rsidRPr="00B66FA2">
        <w:rPr>
          <w:rFonts w:eastAsia="Times New Roman" w:cstheme="minorHAnsi"/>
          <w:sz w:val="24"/>
          <w:szCs w:val="24"/>
          <w:lang w:eastAsia="pt-BR"/>
        </w:rPr>
        <w:t xml:space="preserve">estabelece as normas e disposições de controle da execução orçamentária, bem como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dispõe sobre as alterações na legislação tributária e atende às determinações impostas pela </w:t>
      </w:r>
      <w:hyperlink r:id="rId9" w:history="1">
        <w:r w:rsidRPr="00B66FA2">
          <w:rPr>
            <w:rFonts w:eastAsia="Times New Roman" w:cstheme="minorHAnsi"/>
            <w:sz w:val="24"/>
            <w:szCs w:val="24"/>
            <w:lang w:eastAsia="pt-BR"/>
          </w:rPr>
          <w:t>Lei</w:t>
        </w:r>
        <w:r w:rsidR="00F71F7F" w:rsidRPr="00B66FA2">
          <w:rPr>
            <w:rFonts w:eastAsia="Times New Roman" w:cstheme="minorHAnsi"/>
            <w:sz w:val="24"/>
            <w:szCs w:val="24"/>
            <w:lang w:eastAsia="pt-BR"/>
          </w:rPr>
          <w:t xml:space="preserve"> </w:t>
        </w:r>
        <w:r w:rsidR="00685EA6" w:rsidRPr="00685EA6">
          <w:rPr>
            <w:rFonts w:eastAsia="Times New Roman" w:cstheme="minorHAnsi"/>
            <w:sz w:val="24"/>
            <w:szCs w:val="24"/>
            <w:lang w:eastAsia="pt-BR"/>
          </w:rPr>
          <w:t xml:space="preserve">Complementar </w:t>
        </w:r>
        <w:r w:rsidR="00F71F7F" w:rsidRPr="00B66FA2">
          <w:rPr>
            <w:rFonts w:eastAsia="Times New Roman" w:cstheme="minorHAnsi"/>
            <w:sz w:val="24"/>
            <w:szCs w:val="24"/>
            <w:lang w:eastAsia="pt-BR"/>
          </w:rPr>
          <w:t>Federal</w:t>
        </w:r>
        <w:r w:rsidRPr="00B66FA2">
          <w:rPr>
            <w:rFonts w:eastAsia="Times New Roman" w:cstheme="minorHAnsi"/>
            <w:sz w:val="24"/>
            <w:szCs w:val="24"/>
            <w:lang w:eastAsia="pt-BR"/>
          </w:rPr>
          <w:t xml:space="preserve"> nº 101, de </w:t>
        </w:r>
        <w:proofErr w:type="gramStart"/>
        <w:r w:rsidRPr="00B66FA2">
          <w:rPr>
            <w:rFonts w:eastAsia="Times New Roman" w:cstheme="minorHAnsi"/>
            <w:sz w:val="24"/>
            <w:szCs w:val="24"/>
            <w:lang w:eastAsia="pt-BR"/>
          </w:rPr>
          <w:t>4</w:t>
        </w:r>
        <w:proofErr w:type="gramEnd"/>
        <w:r w:rsidRPr="00B66FA2">
          <w:rPr>
            <w:rFonts w:eastAsia="Times New Roman" w:cstheme="minorHAnsi"/>
            <w:sz w:val="24"/>
            <w:szCs w:val="24"/>
            <w:lang w:eastAsia="pt-BR"/>
          </w:rPr>
          <w:t xml:space="preserve"> de maio de 2000</w:t>
        </w:r>
      </w:hyperlink>
      <w:r w:rsidRPr="00B66FA2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="00685EA6">
        <w:rPr>
          <w:rFonts w:eastAsia="Times New Roman" w:cstheme="minorHAnsi"/>
          <w:sz w:val="24"/>
          <w:szCs w:val="24"/>
          <w:lang w:eastAsia="pt-BR"/>
        </w:rPr>
        <w:t>p</w:t>
      </w:r>
      <w:r w:rsidRPr="00B66FA2">
        <w:rPr>
          <w:rFonts w:eastAsia="Times New Roman" w:cstheme="minorHAnsi"/>
          <w:sz w:val="24"/>
          <w:szCs w:val="24"/>
          <w:lang w:eastAsia="pt-BR"/>
        </w:rPr>
        <w:t>ortarias da Secretaria do Tesouro Nacional.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F0806" w:rsidRPr="00B66FA2">
        <w:rPr>
          <w:rFonts w:eastAsia="Times New Roman" w:cstheme="minorHAnsi"/>
          <w:sz w:val="24"/>
          <w:szCs w:val="24"/>
          <w:lang w:eastAsia="pt-BR"/>
        </w:rPr>
        <w:t>As diretrizes orçamentárias, para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elaboração da proposta orçamentária abrangerá os Poderes Legislativo, Executivo e as entidades da Administração Direta e Indireta, observando-se os seguintes </w:t>
      </w:r>
      <w:r w:rsidR="00DB4D84" w:rsidRPr="00B66FA2">
        <w:rPr>
          <w:rFonts w:eastAsia="Times New Roman" w:cstheme="minorHAnsi"/>
          <w:sz w:val="24"/>
          <w:szCs w:val="24"/>
          <w:lang w:eastAsia="pt-BR"/>
        </w:rPr>
        <w:t>eixos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estratégicos:</w:t>
      </w:r>
    </w:p>
    <w:p w:rsidR="00272CBC" w:rsidRPr="00B66FA2" w:rsidRDefault="00272CBC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I – gestão pública democrática, participação popular, transparência e controle social;</w:t>
      </w:r>
    </w:p>
    <w:p w:rsidR="004545EE" w:rsidRPr="00B66FA2" w:rsidRDefault="00272CBC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 </w:t>
      </w:r>
      <w:r w:rsidR="004545EE" w:rsidRPr="00B66FA2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545EE" w:rsidRPr="00B66FA2">
        <w:rPr>
          <w:rFonts w:eastAsia="Times New Roman" w:cstheme="minorHAnsi"/>
          <w:sz w:val="24"/>
          <w:szCs w:val="24"/>
          <w:lang w:eastAsia="pt-BR"/>
        </w:rPr>
        <w:t>desenvolvimento e sustentabilidade;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272CBC" w:rsidRPr="00B66FA2" w:rsidRDefault="004545EE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III – qualidade de vida e efetivação de direitos sociais. </w:t>
      </w:r>
    </w:p>
    <w:p w:rsidR="00426BF6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 </w:t>
      </w:r>
      <w:r w:rsidR="00426BF6" w:rsidRPr="008C02C2">
        <w:rPr>
          <w:rFonts w:eastAsia="Times New Roman" w:cstheme="minorHAnsi"/>
          <w:b/>
          <w:sz w:val="24"/>
          <w:szCs w:val="24"/>
          <w:lang w:eastAsia="pt-BR"/>
        </w:rPr>
        <w:t>Art.</w:t>
      </w:r>
      <w:r w:rsidR="000F1F0A"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 3</w:t>
      </w:r>
      <w:r w:rsidR="001A6ABD" w:rsidRPr="008C02C2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426BF6" w:rsidRPr="00B66FA2">
        <w:rPr>
          <w:rFonts w:eastAsia="Times New Roman" w:cstheme="minorHAnsi"/>
          <w:sz w:val="24"/>
          <w:szCs w:val="24"/>
          <w:lang w:eastAsia="pt-BR"/>
        </w:rPr>
        <w:t xml:space="preserve"> O 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>P</w:t>
      </w:r>
      <w:r w:rsidR="00426BF6" w:rsidRPr="00B66FA2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>L</w:t>
      </w:r>
      <w:r w:rsidR="00426BF6" w:rsidRPr="00B66FA2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>O</w:t>
      </w:r>
      <w:r w:rsidR="00426BF6" w:rsidRPr="00B66FA2">
        <w:rPr>
          <w:rFonts w:eastAsia="Times New Roman" w:cstheme="minorHAnsi"/>
          <w:sz w:val="24"/>
          <w:szCs w:val="24"/>
          <w:lang w:eastAsia="pt-BR"/>
        </w:rPr>
        <w:t xml:space="preserve">rçamentária 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>A</w:t>
      </w:r>
      <w:r w:rsidR="00426BF6" w:rsidRPr="00B66FA2">
        <w:rPr>
          <w:rFonts w:eastAsia="Times New Roman" w:cstheme="minorHAnsi"/>
          <w:sz w:val="24"/>
          <w:szCs w:val="24"/>
          <w:lang w:eastAsia="pt-BR"/>
        </w:rPr>
        <w:t>nual</w:t>
      </w:r>
      <w:r w:rsidR="000F1F0A" w:rsidRPr="00B66FA2">
        <w:rPr>
          <w:rFonts w:eastAsia="Times New Roman" w:cstheme="minorHAnsi"/>
          <w:sz w:val="24"/>
          <w:szCs w:val="24"/>
          <w:lang w:eastAsia="pt-BR"/>
        </w:rPr>
        <w:t xml:space="preserve">, relativo ao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="000F1F0A" w:rsidRPr="00B66FA2">
        <w:rPr>
          <w:rFonts w:eastAsia="Times New Roman" w:cstheme="minorHAnsi"/>
          <w:sz w:val="24"/>
          <w:szCs w:val="24"/>
          <w:lang w:eastAsia="pt-BR"/>
        </w:rPr>
        <w:t>, deve assegurar os princípios de justiça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 xml:space="preserve"> social</w:t>
      </w:r>
      <w:r w:rsidR="000F1F0A" w:rsidRPr="00B66FA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21913" w:rsidRPr="00B66FA2">
        <w:rPr>
          <w:rFonts w:eastAsia="Times New Roman" w:cstheme="minorHAnsi"/>
          <w:sz w:val="24"/>
          <w:szCs w:val="24"/>
          <w:lang w:eastAsia="pt-BR"/>
        </w:rPr>
        <w:t>justiça</w:t>
      </w:r>
      <w:r w:rsidR="000F1F0A" w:rsidRPr="00B66FA2">
        <w:rPr>
          <w:rFonts w:eastAsia="Times New Roman" w:cstheme="minorHAnsi"/>
          <w:sz w:val="24"/>
          <w:szCs w:val="24"/>
          <w:lang w:eastAsia="pt-BR"/>
        </w:rPr>
        <w:t xml:space="preserve"> tributária, de </w:t>
      </w:r>
      <w:r w:rsidR="000F1F0A" w:rsidRPr="00B66FA2">
        <w:rPr>
          <w:rFonts w:eastAsia="Times New Roman" w:cstheme="minorHAnsi"/>
          <w:sz w:val="24"/>
          <w:szCs w:val="24"/>
          <w:lang w:eastAsia="pt-BR"/>
        </w:rPr>
        <w:lastRenderedPageBreak/>
        <w:t>controle social e de transparência na elaboração e execução do orçamento, assim considerados:</w:t>
      </w:r>
    </w:p>
    <w:p w:rsidR="000F1F0A" w:rsidRPr="00B66FA2" w:rsidRDefault="000F1F0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I – o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>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princípio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>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de justiça social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 xml:space="preserve"> e tributária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implica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>m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em assegurar, na elaboração e execução do orçamento, projetos e atividades que venham a reduzir as desigualdades entre indivíduos e regiões da cidade, combater a exclusão social e gerar 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>oportunidades de trabalho e renda</w:t>
      </w:r>
      <w:r w:rsidRPr="00B66FA2">
        <w:rPr>
          <w:rFonts w:eastAsia="Times New Roman" w:cstheme="minorHAnsi"/>
          <w:sz w:val="24"/>
          <w:szCs w:val="24"/>
          <w:lang w:eastAsia="pt-BR"/>
        </w:rPr>
        <w:t>;</w:t>
      </w:r>
    </w:p>
    <w:p w:rsidR="000F1F0A" w:rsidRPr="00B66FA2" w:rsidRDefault="000F1F0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II – o principio de controle social implica em assegurar a todo cidadão a participação na elaboração e no acompanhamento do orçamento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 xml:space="preserve"> e nas decisões sobre implementação e fiscalização de políticas e serviços públicos</w:t>
      </w:r>
      <w:r w:rsidRPr="00B66FA2">
        <w:rPr>
          <w:rFonts w:eastAsia="Times New Roman" w:cstheme="minorHAnsi"/>
          <w:sz w:val="24"/>
          <w:szCs w:val="24"/>
          <w:lang w:eastAsia="pt-BR"/>
        </w:rPr>
        <w:t>;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0F1F0A" w:rsidRPr="00B66FA2" w:rsidRDefault="000F1F0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III – o princípio de transparência implica, além da observação do princípio constitucional da publicidade, a utilização dos meios disponíveis para garantir o real acesso dos munícipes às informações relativas ao orçamento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 xml:space="preserve"> e à prestação dos serviços públicos</w:t>
      </w:r>
      <w:r w:rsidRPr="00B66FA2">
        <w:rPr>
          <w:rFonts w:eastAsia="Times New Roman" w:cstheme="minorHAnsi"/>
          <w:sz w:val="24"/>
          <w:szCs w:val="24"/>
          <w:lang w:eastAsia="pt-BR"/>
        </w:rPr>
        <w:t>.</w:t>
      </w:r>
    </w:p>
    <w:p w:rsidR="0086257E" w:rsidRPr="00B66FA2" w:rsidRDefault="000F1F0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Art. 4º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Será assegurada aos cidadãos a participação no processo de elaboração, execução e fiscalização do orçamento, </w:t>
      </w:r>
      <w:r w:rsidR="0086257E" w:rsidRPr="00B66FA2">
        <w:rPr>
          <w:rFonts w:eastAsia="Times New Roman" w:cstheme="minorHAnsi"/>
          <w:sz w:val="24"/>
          <w:szCs w:val="24"/>
          <w:lang w:eastAsia="pt-BR"/>
        </w:rPr>
        <w:t>por meio das Plenárias do Orçamento Participativo, do Conselho Municipal do Orçamento Participativo, dos Conselhos Municipais de políticas públicas e demais formas de participação social, tais como conferências, audiências públicas, ouvidoria, entre outros.</w:t>
      </w:r>
    </w:p>
    <w:p w:rsidR="00B66FA2" w:rsidRDefault="00B66FA2" w:rsidP="00B66FA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E5E61" w:rsidRPr="00B66FA2" w:rsidRDefault="00DE5E61" w:rsidP="00B66FA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II</w:t>
      </w:r>
    </w:p>
    <w:p w:rsidR="00DE5E61" w:rsidRPr="00B66FA2" w:rsidRDefault="00DE5E61" w:rsidP="00B66FA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DAS METAS E PRIORIDADES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 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5º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 As metas de resultados fiscais do município para 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são aquelas apresentadas no Demonstrativo de Metas Fiscais, integrante desta Lei, desdobrados em:</w:t>
      </w:r>
    </w:p>
    <w:p w:rsidR="00500265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 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I - Metas anuais;</w:t>
      </w:r>
    </w:p>
    <w:p w:rsidR="008C02C2" w:rsidRDefault="008C02C2" w:rsidP="008C02C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II - Avaliação do cumprimento das metas fiscais do exercício anterior; </w:t>
      </w:r>
    </w:p>
    <w:p w:rsidR="00DE5E61" w:rsidRPr="00B66FA2" w:rsidRDefault="008C02C2" w:rsidP="008C02C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lastRenderedPageBreak/>
        <w:t xml:space="preserve">III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III - Metas fiscais atuais comparadas com as fixadas nos três exercícios anteriores;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IV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IV - Evolução do patrimônio líquido;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V - Origem e aplicação dos recursos obtidos com a alienação de ativos;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VI-A - Avaliação da Situação Financeira do RPPS;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VII - Estimativa e compensação da renúncia de receita;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VIII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Demonstrativo VIII - Margem de expansão das despesas obrigatórias de caráter continuado</w:t>
      </w:r>
      <w:r w:rsidR="0015691E" w:rsidRPr="00B66FA2">
        <w:rPr>
          <w:rFonts w:eastAsia="Times New Roman" w:cstheme="minorHAnsi"/>
          <w:sz w:val="24"/>
          <w:szCs w:val="24"/>
          <w:lang w:eastAsia="pt-BR"/>
        </w:rPr>
        <w:t>;</w:t>
      </w:r>
    </w:p>
    <w:p w:rsidR="0015691E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IX – </w:t>
      </w:r>
      <w:r w:rsidR="0015691E" w:rsidRPr="00B66FA2">
        <w:rPr>
          <w:rFonts w:eastAsia="Times New Roman" w:cstheme="minorHAnsi"/>
          <w:sz w:val="24"/>
          <w:szCs w:val="24"/>
          <w:lang w:eastAsia="pt-BR"/>
        </w:rPr>
        <w:t>Anexo V</w:t>
      </w:r>
      <w:r w:rsidR="001A6ABD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691E" w:rsidRPr="00B66FA2">
        <w:rPr>
          <w:rFonts w:eastAsia="Times New Roman" w:cstheme="minorHAnsi"/>
          <w:sz w:val="24"/>
          <w:szCs w:val="24"/>
          <w:lang w:eastAsia="pt-BR"/>
        </w:rPr>
        <w:t>- Descrição dos Programas Governamentais / Metas / Custos para o exercício;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15691E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X – </w:t>
      </w:r>
      <w:r w:rsidR="00F549BB" w:rsidRPr="00B66FA2">
        <w:rPr>
          <w:rFonts w:eastAsia="Times New Roman" w:cstheme="minorHAnsi"/>
          <w:sz w:val="24"/>
          <w:szCs w:val="24"/>
          <w:lang w:eastAsia="pt-BR"/>
        </w:rPr>
        <w:t xml:space="preserve">Anexo </w:t>
      </w:r>
      <w:r w:rsidR="0015691E" w:rsidRPr="00B66FA2">
        <w:rPr>
          <w:rFonts w:eastAsia="Times New Roman" w:cstheme="minorHAnsi"/>
          <w:sz w:val="24"/>
          <w:szCs w:val="24"/>
          <w:lang w:eastAsia="pt-BR"/>
        </w:rPr>
        <w:t>VI – Unidades Executoras e Ações voltadas ao desenvolvimento do Programa Governamental.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 Os demonstrativos I e III de que trata o "</w:t>
      </w:r>
      <w:r w:rsidRPr="00B66FA2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B66FA2">
        <w:rPr>
          <w:rFonts w:eastAsia="Times New Roman" w:cstheme="minorHAnsi"/>
          <w:sz w:val="24"/>
          <w:szCs w:val="24"/>
          <w:lang w:eastAsia="pt-BR"/>
        </w:rPr>
        <w:t>"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deste artigo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são expressos em valores </w:t>
      </w:r>
      <w:r w:rsidR="00292B6F">
        <w:rPr>
          <w:rFonts w:eastAsia="Times New Roman" w:cstheme="minorHAnsi"/>
          <w:sz w:val="24"/>
          <w:szCs w:val="24"/>
          <w:lang w:eastAsia="pt-BR"/>
        </w:rPr>
        <w:t>correntes e constantes; c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aso ocorram mudanças no cenário </w:t>
      </w:r>
      <w:proofErr w:type="spellStart"/>
      <w:r w:rsidRPr="00B66FA2">
        <w:rPr>
          <w:rFonts w:eastAsia="Times New Roman" w:cstheme="minorHAnsi"/>
          <w:sz w:val="24"/>
          <w:szCs w:val="24"/>
          <w:lang w:eastAsia="pt-BR"/>
        </w:rPr>
        <w:t>macro-econômico</w:t>
      </w:r>
      <w:proofErr w:type="spellEnd"/>
      <w:r w:rsidRPr="00B66FA2">
        <w:rPr>
          <w:rFonts w:eastAsia="Times New Roman" w:cstheme="minorHAnsi"/>
          <w:sz w:val="24"/>
          <w:szCs w:val="24"/>
          <w:lang w:eastAsia="pt-BR"/>
        </w:rPr>
        <w:t xml:space="preserve"> do País, seus valores poderão ser alterados, conforme Decreto do Poder Executivo.</w:t>
      </w:r>
    </w:p>
    <w:p w:rsidR="00DE5E61" w:rsidRDefault="00F72EA6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6º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 Integra esta </w:t>
      </w:r>
      <w:r w:rsidR="00292B6F">
        <w:rPr>
          <w:rFonts w:eastAsia="Times New Roman" w:cstheme="minorHAnsi"/>
          <w:sz w:val="24"/>
          <w:szCs w:val="24"/>
          <w:lang w:eastAsia="pt-BR"/>
        </w:rPr>
        <w:t>l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ei o anexo denominado Anexo de Riscos Fiscais, onde são avaliados os passivos contingentes e outros riscos capazes de afetar as contas públicas, com indicação das providências a serem tomadas pelo Poder Executivo caso venham a se concretizar.</w:t>
      </w:r>
    </w:p>
    <w:p w:rsidR="008C02C2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III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OS PRAZOS</w:t>
      </w:r>
    </w:p>
    <w:p w:rsidR="00C82D60" w:rsidRPr="00B66FA2" w:rsidRDefault="00C82D60" w:rsidP="00B66FA2">
      <w:pPr>
        <w:spacing w:before="120" w:after="120" w:line="360" w:lineRule="auto"/>
        <w:ind w:firstLine="2835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E5E61" w:rsidRPr="00B66FA2" w:rsidRDefault="00F72EA6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 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7º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 O Poder Executivo enviará até 30 de setembro </w:t>
      </w:r>
      <w:r w:rsidR="00292B6F">
        <w:rPr>
          <w:rFonts w:eastAsia="Times New Roman" w:cstheme="minorHAnsi"/>
          <w:sz w:val="24"/>
          <w:szCs w:val="24"/>
          <w:lang w:eastAsia="pt-BR"/>
        </w:rPr>
        <w:t xml:space="preserve">do corrente ano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P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L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O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rçamentária </w:t>
      </w:r>
      <w:r w:rsidR="00292B6F">
        <w:rPr>
          <w:rFonts w:eastAsia="Times New Roman" w:cstheme="minorHAnsi"/>
          <w:sz w:val="24"/>
          <w:szCs w:val="24"/>
          <w:lang w:eastAsia="pt-BR"/>
        </w:rPr>
        <w:t>ao Poder Legislativo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, que o apreciará até o final da sessão legislativa, devolvendo-o a seguir para sanção e demais providências.</w:t>
      </w:r>
    </w:p>
    <w:p w:rsidR="00DE5E61" w:rsidRPr="00B66FA2" w:rsidRDefault="001A6ABD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1º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A Mesa da Câmara Municipal elaborará sua proposta orça</w:t>
      </w:r>
      <w:r w:rsidR="00E228D5" w:rsidRPr="00B66FA2">
        <w:rPr>
          <w:rFonts w:eastAsia="Times New Roman" w:cstheme="minorHAnsi"/>
          <w:sz w:val="24"/>
          <w:szCs w:val="24"/>
          <w:lang w:eastAsia="pt-BR"/>
        </w:rPr>
        <w:t xml:space="preserve">mentária para 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e a remeterá ao Executivo até 30 (trinta) dias antes do prazo previsto para remessa do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P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rojeto de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L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ei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O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rçamentária àquele poder.</w:t>
      </w:r>
    </w:p>
    <w:p w:rsidR="00817BE2" w:rsidRPr="00B66FA2" w:rsidRDefault="00817BE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2º Os Órgãos da Administração Indireta enviarão suas propostas orçamentárias parciais para 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Pr="00B66FA2">
        <w:rPr>
          <w:rFonts w:eastAsia="Times New Roman" w:cstheme="minorHAnsi"/>
          <w:sz w:val="24"/>
          <w:szCs w:val="24"/>
          <w:lang w:eastAsia="pt-BR"/>
        </w:rPr>
        <w:t>, baseada</w:t>
      </w:r>
      <w:r w:rsidR="00292B6F">
        <w:rPr>
          <w:rFonts w:eastAsia="Times New Roman" w:cstheme="minorHAnsi"/>
          <w:sz w:val="24"/>
          <w:szCs w:val="24"/>
          <w:lang w:eastAsia="pt-BR"/>
        </w:rPr>
        <w:t>s nesta lei e na Lei nº 9.138, de 11 de fevereiro de 201</w:t>
      </w:r>
      <w:r w:rsidR="001B474F">
        <w:rPr>
          <w:rFonts w:eastAsia="Times New Roman" w:cstheme="minorHAnsi"/>
          <w:sz w:val="24"/>
          <w:szCs w:val="24"/>
          <w:lang w:eastAsia="pt-BR"/>
        </w:rPr>
        <w:t>8</w:t>
      </w:r>
      <w:r w:rsidR="00292B6F">
        <w:rPr>
          <w:rFonts w:eastAsia="Times New Roman" w:cstheme="minorHAnsi"/>
          <w:sz w:val="24"/>
          <w:szCs w:val="24"/>
          <w:lang w:eastAsia="pt-BR"/>
        </w:rPr>
        <w:t>, que e</w:t>
      </w:r>
      <w:r w:rsidR="00292B6F" w:rsidRPr="00292B6F">
        <w:rPr>
          <w:rFonts w:eastAsia="Times New Roman" w:cstheme="minorHAnsi"/>
          <w:sz w:val="24"/>
          <w:szCs w:val="24"/>
          <w:lang w:eastAsia="pt-BR"/>
        </w:rPr>
        <w:t>stabelece o Plano Plurianual do Município para o período 2018 a 2021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, até o dia </w:t>
      </w:r>
      <w:r w:rsidR="00894AD8" w:rsidRPr="00B66FA2">
        <w:rPr>
          <w:rFonts w:eastAsia="Times New Roman" w:cstheme="minorHAnsi"/>
          <w:sz w:val="24"/>
          <w:szCs w:val="24"/>
          <w:lang w:eastAsia="pt-BR"/>
        </w:rPr>
        <w:t>2</w:t>
      </w:r>
      <w:r w:rsidR="00436E82" w:rsidRPr="00B66FA2">
        <w:rPr>
          <w:rFonts w:eastAsia="Times New Roman" w:cstheme="minorHAnsi"/>
          <w:sz w:val="24"/>
          <w:szCs w:val="24"/>
          <w:lang w:eastAsia="pt-BR"/>
        </w:rPr>
        <w:t>0 de julho de 201</w:t>
      </w:r>
      <w:r w:rsidR="00E2775B" w:rsidRPr="00B66FA2">
        <w:rPr>
          <w:rFonts w:eastAsia="Times New Roman" w:cstheme="minorHAnsi"/>
          <w:sz w:val="24"/>
          <w:szCs w:val="24"/>
          <w:lang w:eastAsia="pt-BR"/>
        </w:rPr>
        <w:t>9</w:t>
      </w:r>
      <w:r w:rsidR="00436E82" w:rsidRPr="00B66FA2">
        <w:rPr>
          <w:rFonts w:eastAsia="Times New Roman" w:cstheme="minorHAnsi"/>
          <w:sz w:val="24"/>
          <w:szCs w:val="24"/>
          <w:lang w:eastAsia="pt-BR"/>
        </w:rPr>
        <w:t>, à Secretaria Municipal de Planejamento e Participação Popular.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653607" w:rsidRPr="00B66FA2" w:rsidRDefault="00436E8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8º</w:t>
      </w: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="002C525C" w:rsidRPr="00B66FA2">
        <w:rPr>
          <w:rFonts w:eastAsia="Times New Roman" w:cstheme="minorHAnsi"/>
          <w:sz w:val="24"/>
          <w:szCs w:val="24"/>
          <w:lang w:eastAsia="pt-BR"/>
        </w:rPr>
        <w:t>Não sendo encaminhado o autógrafo do projeto de lei orçamentária anual</w:t>
      </w:r>
      <w:r w:rsidR="00653607" w:rsidRPr="00B66FA2">
        <w:rPr>
          <w:rFonts w:eastAsia="Times New Roman" w:cstheme="minorHAnsi"/>
          <w:sz w:val="24"/>
          <w:szCs w:val="24"/>
          <w:lang w:eastAsia="pt-BR"/>
        </w:rPr>
        <w:t xml:space="preserve"> até a data de início do exercício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proofErr w:type="gramStart"/>
      <w:r w:rsidR="00653607" w:rsidRPr="00B66FA2">
        <w:rPr>
          <w:rFonts w:eastAsia="Times New Roman" w:cstheme="minorHAnsi"/>
          <w:sz w:val="24"/>
          <w:szCs w:val="24"/>
          <w:lang w:eastAsia="pt-BR"/>
        </w:rPr>
        <w:t>,</w:t>
      </w:r>
      <w:r w:rsidR="00503B7F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53607" w:rsidRPr="00B66FA2">
        <w:rPr>
          <w:rFonts w:eastAsia="Times New Roman" w:cstheme="minorHAnsi"/>
          <w:sz w:val="24"/>
          <w:szCs w:val="24"/>
          <w:lang w:eastAsia="pt-BR"/>
        </w:rPr>
        <w:t>fica</w:t>
      </w:r>
      <w:proofErr w:type="gramEnd"/>
      <w:r w:rsidR="00653607" w:rsidRPr="00B66FA2">
        <w:rPr>
          <w:rFonts w:eastAsia="Times New Roman" w:cstheme="minorHAnsi"/>
          <w:sz w:val="24"/>
          <w:szCs w:val="24"/>
          <w:lang w:eastAsia="pt-BR"/>
        </w:rPr>
        <w:t xml:space="preserve"> o Poder Executivo autorizado a realizar a proposta orçamentária até a sua conversão em lei, no limite de 1/12 (um doze avos) em cada mês.</w:t>
      </w:r>
    </w:p>
    <w:p w:rsidR="00653607" w:rsidRPr="00B66FA2" w:rsidRDefault="00653607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 A limitação de 1/12 (um doze avos) em cada mês, a que se refere o “caput” deste artigo, não se aplica às despesas de que tratam as alíneas “a”, “b” e “c” do inciso II do § 3º do artigo 166 da Constituição </w:t>
      </w:r>
      <w:r w:rsidR="001B474F">
        <w:rPr>
          <w:rFonts w:eastAsia="Times New Roman" w:cstheme="minorHAnsi"/>
          <w:sz w:val="24"/>
          <w:szCs w:val="24"/>
          <w:lang w:eastAsia="pt-BR"/>
        </w:rPr>
        <w:t>da República Federativa do Brasil</w:t>
      </w:r>
      <w:r w:rsidRPr="00B66FA2">
        <w:rPr>
          <w:rFonts w:eastAsia="Times New Roman" w:cstheme="minorHAnsi"/>
          <w:sz w:val="24"/>
          <w:szCs w:val="24"/>
          <w:lang w:eastAsia="pt-BR"/>
        </w:rPr>
        <w:t>.</w:t>
      </w:r>
    </w:p>
    <w:p w:rsidR="00003547" w:rsidRPr="00B66FA2" w:rsidRDefault="00653607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>Art.</w:t>
      </w:r>
      <w:r w:rsidR="00DE5E61"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9º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Poder 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 xml:space="preserve">Legislativo e as entidades da </w:t>
      </w:r>
      <w:r w:rsidR="001B474F">
        <w:rPr>
          <w:rFonts w:eastAsia="Times New Roman" w:cstheme="minorHAnsi"/>
          <w:sz w:val="24"/>
          <w:szCs w:val="24"/>
          <w:lang w:eastAsia="pt-BR"/>
        </w:rPr>
        <w:t>A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 xml:space="preserve">dministração </w:t>
      </w:r>
      <w:r w:rsidR="001B474F">
        <w:rPr>
          <w:rFonts w:eastAsia="Times New Roman" w:cstheme="minorHAnsi"/>
          <w:sz w:val="24"/>
          <w:szCs w:val="24"/>
          <w:lang w:eastAsia="pt-BR"/>
        </w:rPr>
        <w:t>I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>ndireta integrantes do orçamento público deverão encaminhar mensalmente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B474F" w:rsidRPr="00B66FA2">
        <w:rPr>
          <w:rFonts w:eastAsia="Times New Roman" w:cstheme="minorHAnsi"/>
          <w:sz w:val="24"/>
          <w:szCs w:val="24"/>
          <w:lang w:eastAsia="pt-BR"/>
        </w:rPr>
        <w:t>ao Poder Executivo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>, para fins de consolidação das contas públicas</w:t>
      </w:r>
      <w:r w:rsidR="00F72EA6" w:rsidRPr="00B66FA2">
        <w:rPr>
          <w:rFonts w:eastAsia="Times New Roman" w:cstheme="minorHAnsi"/>
          <w:sz w:val="24"/>
          <w:szCs w:val="24"/>
          <w:lang w:eastAsia="pt-BR"/>
        </w:rPr>
        <w:t xml:space="preserve">, até o </w:t>
      </w:r>
      <w:r w:rsidR="001A6ABD" w:rsidRPr="00B66FA2">
        <w:rPr>
          <w:rFonts w:eastAsia="Times New Roman" w:cstheme="minorHAnsi"/>
          <w:sz w:val="24"/>
          <w:szCs w:val="24"/>
          <w:lang w:eastAsia="pt-BR"/>
        </w:rPr>
        <w:t>dia</w:t>
      </w:r>
      <w:r w:rsidR="00B12521" w:rsidRPr="00B66FA2">
        <w:rPr>
          <w:rFonts w:eastAsia="Times New Roman" w:cstheme="minorHAnsi"/>
          <w:sz w:val="24"/>
          <w:szCs w:val="24"/>
          <w:lang w:eastAsia="pt-BR"/>
        </w:rPr>
        <w:t xml:space="preserve"> 10 do </w:t>
      </w:r>
      <w:r w:rsidR="00003547" w:rsidRPr="00B66FA2">
        <w:rPr>
          <w:rFonts w:eastAsia="Times New Roman" w:cstheme="minorHAnsi"/>
          <w:sz w:val="24"/>
          <w:szCs w:val="24"/>
          <w:lang w:eastAsia="pt-BR"/>
        </w:rPr>
        <w:t xml:space="preserve">mês subsequente ao encerramento do mês, os relatórios demonstrativos das receitas e despesas, além de outros que se fizerem necessários para esse fim. 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 Em caso de não observância ao disposto no "</w:t>
      </w:r>
      <w:r w:rsidRPr="00B66FA2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" por parte das entidades, as </w:t>
      </w:r>
      <w:proofErr w:type="spellStart"/>
      <w:r w:rsidR="001B474F">
        <w:rPr>
          <w:rFonts w:eastAsia="Times New Roman" w:cstheme="minorHAnsi"/>
          <w:sz w:val="24"/>
          <w:szCs w:val="24"/>
          <w:lang w:eastAsia="pt-BR"/>
        </w:rPr>
        <w:t>prestações</w:t>
      </w:r>
      <w:r w:rsidRPr="00B66FA2">
        <w:rPr>
          <w:rFonts w:eastAsia="Times New Roman" w:cstheme="minorHAnsi"/>
          <w:sz w:val="24"/>
          <w:szCs w:val="24"/>
          <w:lang w:eastAsia="pt-BR"/>
        </w:rPr>
        <w:t>s</w:t>
      </w:r>
      <w:proofErr w:type="spellEnd"/>
      <w:r w:rsidRPr="00B66FA2">
        <w:rPr>
          <w:rFonts w:eastAsia="Times New Roman" w:cstheme="minorHAnsi"/>
          <w:sz w:val="24"/>
          <w:szCs w:val="24"/>
          <w:lang w:eastAsia="pt-BR"/>
        </w:rPr>
        <w:t xml:space="preserve"> de contas aos sistemas de </w:t>
      </w: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 xml:space="preserve">controles externos exercidos pelo Tribunal de Contas do Estado 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de São Paulo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e pelos Ministérios seguirão sem as informações das entidades e o fato será imediatamente comunicado ao Tribunal de Contas do Estado 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de São Paulo </w:t>
      </w:r>
      <w:r w:rsidRPr="00B66FA2">
        <w:rPr>
          <w:rFonts w:eastAsia="Times New Roman" w:cstheme="minorHAnsi"/>
          <w:sz w:val="24"/>
          <w:szCs w:val="24"/>
          <w:lang w:eastAsia="pt-BR"/>
        </w:rPr>
        <w:t>para providências.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IV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 ELABORAÇÃO E EXECUÇÃO DA LEI ORÇAMENTÁRIA ANUAL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 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10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As unidades orçamentárias, quando da elaboração de suas propostas orçamentárias parciais, deverão atender a estrutura orçamentária e as determinações emanadas pelos setores competentes da área.</w:t>
      </w:r>
    </w:p>
    <w:p w:rsidR="007A1C2A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="00B80108" w:rsidRPr="008C02C2">
        <w:rPr>
          <w:rFonts w:eastAsia="Times New Roman" w:cstheme="minorHAnsi"/>
          <w:b/>
          <w:sz w:val="24"/>
          <w:szCs w:val="24"/>
          <w:lang w:eastAsia="pt-BR"/>
        </w:rPr>
        <w:t>Ar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>t.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11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 proposta orçamentária, que não conterá dispositivos estranho</w:t>
      </w:r>
      <w:r w:rsidR="00503B7F" w:rsidRPr="00B66FA2">
        <w:rPr>
          <w:rFonts w:eastAsia="Times New Roman" w:cstheme="minorHAnsi"/>
          <w:sz w:val="24"/>
          <w:szCs w:val="24"/>
          <w:lang w:eastAsia="pt-BR"/>
        </w:rPr>
        <w:t>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à previsão da receita e à fixação da despesa, atenderá a um processo de planejamento permanente, à descentralização</w:t>
      </w:r>
      <w:r w:rsidR="003359AF" w:rsidRPr="00B66FA2"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à participação </w:t>
      </w:r>
      <w:r w:rsidR="00967661" w:rsidRPr="00B66FA2">
        <w:rPr>
          <w:rFonts w:eastAsia="Times New Roman" w:cstheme="minorHAnsi"/>
          <w:sz w:val="24"/>
          <w:szCs w:val="24"/>
          <w:lang w:eastAsia="pt-BR"/>
        </w:rPr>
        <w:t>popular</w:t>
      </w:r>
      <w:r w:rsidR="003359AF" w:rsidRPr="00B66FA2">
        <w:rPr>
          <w:rFonts w:eastAsia="Times New Roman" w:cstheme="minorHAnsi"/>
          <w:sz w:val="24"/>
          <w:szCs w:val="24"/>
          <w:lang w:eastAsia="pt-BR"/>
        </w:rPr>
        <w:t>;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conterá ainda reserva de contingência e compreenderá o orçamento fiscal e da seguridade social referente aos Poderes Executivo e Legislativo Municipal, seus fundos, órgãos, autarquias, inclusive especiais, fundações</w:t>
      </w:r>
      <w:r w:rsidR="00B80108" w:rsidRPr="00B66FA2">
        <w:rPr>
          <w:rFonts w:eastAsia="Times New Roman" w:cstheme="minorHAnsi"/>
          <w:sz w:val="24"/>
          <w:szCs w:val="24"/>
          <w:lang w:eastAsia="pt-BR"/>
        </w:rPr>
        <w:t xml:space="preserve"> de direito público, bem como das fundações públicas de direito privado instituídas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e mantidas pelo Poder Público Municipal,</w:t>
      </w:r>
      <w:r w:rsidR="00EC0CC5" w:rsidRPr="00B66FA2">
        <w:rPr>
          <w:rFonts w:eastAsia="Times New Roman" w:cstheme="minorHAnsi"/>
          <w:sz w:val="24"/>
          <w:szCs w:val="24"/>
          <w:lang w:eastAsia="pt-BR"/>
        </w:rPr>
        <w:t xml:space="preserve"> bem como das empresas públicas</w:t>
      </w:r>
      <w:r w:rsidR="00B80108" w:rsidRPr="00B66FA2">
        <w:rPr>
          <w:rFonts w:eastAsia="Times New Roman" w:cstheme="minorHAnsi"/>
          <w:sz w:val="24"/>
          <w:szCs w:val="24"/>
          <w:lang w:eastAsia="pt-BR"/>
        </w:rPr>
        <w:t>, sociedade de economia mista</w:t>
      </w:r>
      <w:r w:rsidR="0001608B" w:rsidRPr="00B66FA2">
        <w:rPr>
          <w:rFonts w:eastAsia="Times New Roman" w:cstheme="minorHAnsi"/>
          <w:sz w:val="24"/>
          <w:szCs w:val="24"/>
          <w:lang w:eastAsia="pt-BR"/>
        </w:rPr>
        <w:t xml:space="preserve"> e demais entidades em que o ente, direta ou indiretamente, detenha a maioria do capital social com direito a voto e que dele recebam recursos do Tesouro Municipal</w:t>
      </w:r>
      <w:r w:rsidR="001A6ABD" w:rsidRPr="00B66FA2">
        <w:rPr>
          <w:rFonts w:eastAsia="Times New Roman" w:cstheme="minorHAnsi"/>
          <w:sz w:val="24"/>
          <w:szCs w:val="24"/>
          <w:lang w:eastAsia="pt-BR"/>
        </w:rPr>
        <w:t>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</w:t>
      </w:r>
      <w:r w:rsidR="00331D50" w:rsidRPr="00B66FA2">
        <w:rPr>
          <w:rFonts w:eastAsia="Times New Roman" w:cstheme="minorHAnsi"/>
          <w:sz w:val="24"/>
          <w:szCs w:val="24"/>
          <w:lang w:eastAsia="pt-BR"/>
        </w:rPr>
        <w:t xml:space="preserve">1º </w:t>
      </w:r>
      <w:r w:rsidRPr="00B66FA2">
        <w:rPr>
          <w:rFonts w:eastAsia="Times New Roman" w:cstheme="minorHAnsi"/>
          <w:sz w:val="24"/>
          <w:szCs w:val="24"/>
          <w:lang w:eastAsia="pt-BR"/>
        </w:rPr>
        <w:t>A execução orçamentária e financeira das despesas realizadas de forma descentralizada observarão as normas estabelecidas pela Secretaria do Tesouro Nacional.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</w:t>
      </w:r>
      <w:r w:rsidR="00331D50" w:rsidRPr="00B66FA2">
        <w:rPr>
          <w:rFonts w:eastAsia="Times New Roman" w:cstheme="minorHAnsi"/>
          <w:sz w:val="24"/>
          <w:szCs w:val="24"/>
          <w:lang w:eastAsia="pt-BR"/>
        </w:rPr>
        <w:t xml:space="preserve">2º </w:t>
      </w:r>
      <w:r w:rsidRPr="00B66FA2">
        <w:rPr>
          <w:rFonts w:eastAsia="Times New Roman" w:cstheme="minorHAnsi"/>
          <w:sz w:val="24"/>
          <w:szCs w:val="24"/>
          <w:lang w:eastAsia="pt-BR"/>
        </w:rPr>
        <w:t>A criação, expansão ou aperfeiçoamento de ação governamental que acarrete aumento da despesa será acompanhad</w:t>
      </w:r>
      <w:r w:rsidR="00B970C9" w:rsidRPr="00B66FA2">
        <w:rPr>
          <w:rFonts w:eastAsia="Times New Roman" w:cstheme="minorHAnsi"/>
          <w:sz w:val="24"/>
          <w:szCs w:val="24"/>
          <w:lang w:eastAsia="pt-BR"/>
        </w:rPr>
        <w:t>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de estimativa do impacto orçam</w:t>
      </w:r>
      <w:r w:rsidR="002577D1" w:rsidRPr="00B66FA2">
        <w:rPr>
          <w:rFonts w:eastAsia="Times New Roman" w:cstheme="minorHAnsi"/>
          <w:sz w:val="24"/>
          <w:szCs w:val="24"/>
          <w:lang w:eastAsia="pt-BR"/>
        </w:rPr>
        <w:t>entário e financeiro, ressalvada</w:t>
      </w:r>
      <w:r w:rsidR="006F7FBC" w:rsidRPr="00B66FA2">
        <w:rPr>
          <w:rFonts w:eastAsia="Times New Roman" w:cstheme="minorHAnsi"/>
          <w:sz w:val="24"/>
          <w:szCs w:val="24"/>
          <w:lang w:eastAsia="pt-BR"/>
        </w:rPr>
        <w:t>s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as despesas consideradas irrelevantes, que não ultrapassem a 1% (um por cento) da Receita Corrente Líquida.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lastRenderedPageBreak/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12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 discriminação da despesa, quanto à sua natureza, far-se-á no mínimo por categoria econômica, grupo de natureza de despesa, modalidade de aplicação e elemento de despesa, nos termos do art. 6º da Portaria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 Interministerial nº 163, de 04 de maio de </w:t>
      </w:r>
      <w:r w:rsidRPr="00B66FA2">
        <w:rPr>
          <w:rFonts w:eastAsia="Times New Roman" w:cstheme="minorHAnsi"/>
          <w:sz w:val="24"/>
          <w:szCs w:val="24"/>
          <w:lang w:eastAsia="pt-BR"/>
        </w:rPr>
        <w:t>2001 e orientações do Tribunal de Contas do Estado de São Paulo.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13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 proposta orçamentária anual atenderá às diretrizes gerais e aos princípios de unidade, universalidade e anualidade, não podendo o montante das despesas fixadas excederem a previsão da receita para o exercício.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>Art. 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14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As receitas e as despesas serão estimadas, tomando-se por base o índice de inflação apurado nos últimos 12 (doze) meses, a tendência e o comportamento da arrecadação municipal mês a mês.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§ 1º Na estimativa das receitas deverão ser consideradas, ainda, as modificações da legislação tributária.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§ 2º As taxas de poder de polícia deverão remunerar a atividade municipal de maneira a equilibrar as respectivas despesas.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 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15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 proposta orçamentária que o Poder Executivo encaminhar ao Poder Legislativo compor-se-á de: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mensagem;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projeto de lei orçamentária</w:t>
      </w:r>
      <w:r w:rsidR="00707AEE" w:rsidRPr="00B66FA2">
        <w:rPr>
          <w:rFonts w:eastAsia="Times New Roman" w:cstheme="minorHAnsi"/>
          <w:sz w:val="24"/>
          <w:szCs w:val="24"/>
          <w:lang w:eastAsia="pt-BR"/>
        </w:rPr>
        <w:t xml:space="preserve"> anual</w:t>
      </w:r>
      <w:r w:rsidRPr="00B66FA2">
        <w:rPr>
          <w:rFonts w:eastAsia="Times New Roman" w:cstheme="minorHAnsi"/>
          <w:sz w:val="24"/>
          <w:szCs w:val="24"/>
          <w:lang w:eastAsia="pt-BR"/>
        </w:rPr>
        <w:t>;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tabelas explicativas </w:t>
      </w:r>
      <w:r w:rsidR="004502CB" w:rsidRPr="00B66FA2">
        <w:rPr>
          <w:rFonts w:eastAsia="Times New Roman" w:cstheme="minorHAnsi"/>
          <w:sz w:val="24"/>
          <w:szCs w:val="24"/>
          <w:lang w:eastAsia="pt-BR"/>
        </w:rPr>
        <w:t>a</w:t>
      </w:r>
      <w:r w:rsidR="00707AEE" w:rsidRPr="00B66FA2">
        <w:rPr>
          <w:rFonts w:eastAsia="Times New Roman" w:cstheme="minorHAnsi"/>
          <w:sz w:val="24"/>
          <w:szCs w:val="24"/>
          <w:lang w:eastAsia="pt-BR"/>
        </w:rPr>
        <w:t xml:space="preserve"> que se refere o inciso III, do artigo 22, da Lei Federal nº 4.320</w:t>
      </w:r>
      <w:r w:rsidR="001B474F">
        <w:rPr>
          <w:rFonts w:eastAsia="Times New Roman" w:cstheme="minorHAnsi"/>
          <w:sz w:val="24"/>
          <w:szCs w:val="24"/>
          <w:lang w:eastAsia="pt-BR"/>
        </w:rPr>
        <w:t>,</w:t>
      </w:r>
      <w:r w:rsidR="00707AEE" w:rsidRPr="00B66FA2">
        <w:rPr>
          <w:rFonts w:eastAsia="Times New Roman" w:cstheme="minorHAnsi"/>
          <w:sz w:val="24"/>
          <w:szCs w:val="24"/>
          <w:lang w:eastAsia="pt-BR"/>
        </w:rPr>
        <w:t xml:space="preserve"> de 17 de março de 1964;</w:t>
      </w: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IV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sumário geral da receita por fontes e da despesa por funções de governo;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V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sumário geral da receita e despesa, por categorias econômicas;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 xml:space="preserve">VI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quadro das dotações por órgãos do governo e da administração</w:t>
      </w:r>
      <w:r w:rsidR="009D7209" w:rsidRPr="00B66FA2">
        <w:rPr>
          <w:rFonts w:eastAsia="Times New Roman" w:cstheme="minorHAnsi"/>
          <w:sz w:val="24"/>
          <w:szCs w:val="24"/>
          <w:lang w:eastAsia="pt-BR"/>
        </w:rPr>
        <w:t>;</w:t>
      </w:r>
    </w:p>
    <w:p w:rsidR="009D7209" w:rsidRPr="00B66FA2" w:rsidRDefault="009D7209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VII – demonstrativo do cumprimento da legislação que dispõe sobre a aplicação de recursos resultantes de impostos na manutenção e desenvolvimento do </w:t>
      </w:r>
      <w:r w:rsidR="001B474F">
        <w:rPr>
          <w:rFonts w:eastAsia="Times New Roman" w:cstheme="minorHAnsi"/>
          <w:sz w:val="24"/>
          <w:szCs w:val="24"/>
          <w:lang w:eastAsia="pt-BR"/>
        </w:rPr>
        <w:t>e</w:t>
      </w:r>
      <w:r w:rsidRPr="00B66FA2">
        <w:rPr>
          <w:rFonts w:eastAsia="Times New Roman" w:cstheme="minorHAnsi"/>
          <w:sz w:val="24"/>
          <w:szCs w:val="24"/>
          <w:lang w:eastAsia="pt-BR"/>
        </w:rPr>
        <w:t>nsino;</w:t>
      </w:r>
    </w:p>
    <w:p w:rsidR="009D7209" w:rsidRPr="00B66FA2" w:rsidRDefault="009D7209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VIII – demonstrativo do cumprimento da E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menda 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à Constituição da República Federativa do Brasil </w:t>
      </w:r>
      <w:r w:rsidR="008C02C2">
        <w:rPr>
          <w:rFonts w:eastAsia="Times New Roman" w:cstheme="minorHAnsi"/>
          <w:sz w:val="24"/>
          <w:szCs w:val="24"/>
          <w:lang w:eastAsia="pt-BR"/>
        </w:rPr>
        <w:t>nº 29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, de 13 de setembro 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2000; 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9D7209" w:rsidRPr="00B66FA2" w:rsidRDefault="009D7209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IX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demonstrativos discriminando a totalidade das receitas e das despesas das 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entidades da Administração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Direta e </w:t>
      </w:r>
      <w:r w:rsidR="001B474F">
        <w:rPr>
          <w:rFonts w:eastAsia="Times New Roman" w:cstheme="minorHAnsi"/>
          <w:sz w:val="24"/>
          <w:szCs w:val="24"/>
          <w:lang w:eastAsia="pt-BR"/>
        </w:rPr>
        <w:t>I</w:t>
      </w:r>
      <w:r w:rsidRPr="00B66FA2">
        <w:rPr>
          <w:rFonts w:eastAsia="Times New Roman" w:cstheme="minorHAnsi"/>
          <w:sz w:val="24"/>
          <w:szCs w:val="24"/>
          <w:lang w:eastAsia="pt-BR"/>
        </w:rPr>
        <w:t>ndireta.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16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Caso os valores previstos nesta </w:t>
      </w:r>
      <w:r w:rsidR="001B474F">
        <w:rPr>
          <w:rFonts w:eastAsia="Times New Roman" w:cstheme="minorHAnsi"/>
          <w:sz w:val="24"/>
          <w:szCs w:val="24"/>
          <w:lang w:eastAsia="pt-BR"/>
        </w:rPr>
        <w:t>l</w:t>
      </w:r>
      <w:r w:rsidRPr="00B66FA2">
        <w:rPr>
          <w:rFonts w:eastAsia="Times New Roman" w:cstheme="minorHAnsi"/>
          <w:sz w:val="24"/>
          <w:szCs w:val="24"/>
          <w:lang w:eastAsia="pt-BR"/>
        </w:rPr>
        <w:t>ei se apresentem defasados na ocasião da elaboração da proposta orçamentária, poderão ser reajustados aos valores reais, compatibilizando a receita orçada com a despesa autorizada.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Parágrafo único. </w:t>
      </w:r>
      <w:r w:rsidRPr="00B66FA2">
        <w:rPr>
          <w:rFonts w:eastAsia="Times New Roman" w:cstheme="minorHAnsi"/>
          <w:sz w:val="24"/>
          <w:szCs w:val="24"/>
          <w:lang w:eastAsia="pt-BR"/>
        </w:rPr>
        <w:t> Fica o Poder Executivo autorizado a executar a compatibilização entre as peças de planejamento</w:t>
      </w:r>
      <w:r w:rsidR="001B474F">
        <w:rPr>
          <w:rFonts w:eastAsia="Times New Roman" w:cstheme="minorHAnsi"/>
          <w:sz w:val="24"/>
          <w:szCs w:val="24"/>
          <w:lang w:eastAsia="pt-BR"/>
        </w:rPr>
        <w:t xml:space="preserve"> prevista na Lei nº 9.138, de 2018, que e</w:t>
      </w:r>
      <w:r w:rsidR="001B474F" w:rsidRPr="00292B6F">
        <w:rPr>
          <w:rFonts w:eastAsia="Times New Roman" w:cstheme="minorHAnsi"/>
          <w:sz w:val="24"/>
          <w:szCs w:val="24"/>
          <w:lang w:eastAsia="pt-BR"/>
        </w:rPr>
        <w:t>stabelece o Plano Plurianual do Município para o período 2018 a 2021</w:t>
      </w:r>
      <w:r w:rsidR="001B474F" w:rsidRPr="00B66FA2">
        <w:rPr>
          <w:rFonts w:eastAsia="Times New Roman" w:cstheme="minorHAnsi"/>
          <w:sz w:val="24"/>
          <w:szCs w:val="24"/>
          <w:lang w:eastAsia="pt-BR"/>
        </w:rPr>
        <w:t>,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caso ocorra o evidenciado no "</w:t>
      </w:r>
      <w:r w:rsidRPr="00B66FA2">
        <w:rPr>
          <w:rFonts w:eastAsia="Times New Roman" w:cstheme="minorHAnsi"/>
          <w:bCs/>
          <w:sz w:val="24"/>
          <w:szCs w:val="24"/>
          <w:lang w:eastAsia="pt-BR"/>
        </w:rPr>
        <w:t>caput</w:t>
      </w:r>
      <w:r w:rsidRPr="00B66FA2">
        <w:rPr>
          <w:rFonts w:eastAsia="Times New Roman" w:cstheme="minorHAnsi"/>
          <w:sz w:val="24"/>
          <w:szCs w:val="24"/>
          <w:lang w:eastAsia="pt-BR"/>
        </w:rPr>
        <w:t>" deste artigo.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17</w:t>
      </w:r>
      <w:r w:rsidR="001B474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A lei orçamentária conterá Reserva de Contingência do Poder Executivo e demais órgãos da </w:t>
      </w:r>
      <w:r w:rsidR="001B474F">
        <w:rPr>
          <w:rFonts w:eastAsia="Times New Roman" w:cstheme="minorHAnsi"/>
          <w:sz w:val="24"/>
          <w:szCs w:val="24"/>
          <w:lang w:eastAsia="pt-BR"/>
        </w:rPr>
        <w:t>A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dministração </w:t>
      </w:r>
      <w:r w:rsidR="001B474F">
        <w:rPr>
          <w:rFonts w:eastAsia="Times New Roman" w:cstheme="minorHAnsi"/>
          <w:sz w:val="24"/>
          <w:szCs w:val="24"/>
          <w:lang w:eastAsia="pt-BR"/>
        </w:rPr>
        <w:t>I</w:t>
      </w:r>
      <w:r w:rsidRPr="00B66FA2">
        <w:rPr>
          <w:rFonts w:eastAsia="Times New Roman" w:cstheme="minorHAnsi"/>
          <w:sz w:val="24"/>
          <w:szCs w:val="24"/>
          <w:lang w:eastAsia="pt-BR"/>
        </w:rPr>
        <w:t>ndireta, que será equivalente a no máximo 5% (cinco por cento) da receita corrente líquida prevista</w:t>
      </w:r>
      <w:r w:rsidR="00800D36" w:rsidRPr="00B66FA2">
        <w:rPr>
          <w:rFonts w:eastAsia="Times New Roman" w:cstheme="minorHAnsi"/>
          <w:sz w:val="24"/>
          <w:szCs w:val="24"/>
          <w:lang w:eastAsia="pt-BR"/>
        </w:rPr>
        <w:t xml:space="preserve"> na proposta orçamentária de 2020</w:t>
      </w:r>
      <w:r w:rsidRPr="00B66FA2">
        <w:rPr>
          <w:rFonts w:eastAsia="Times New Roman" w:cstheme="minorHAnsi"/>
          <w:sz w:val="24"/>
          <w:szCs w:val="24"/>
          <w:lang w:eastAsia="pt-BR"/>
        </w:rPr>
        <w:t>, e será destinada a: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cobertura de créditos adicionais; 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atender passivos contingentes e outros riscos e eventos fiscais imprevistos.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trike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5F37C5" w:rsidRPr="008C02C2">
        <w:rPr>
          <w:rFonts w:eastAsia="Times New Roman" w:cstheme="minorHAnsi"/>
          <w:b/>
          <w:sz w:val="24"/>
          <w:szCs w:val="24"/>
          <w:lang w:eastAsia="pt-BR"/>
        </w:rPr>
        <w:t>18</w:t>
      </w:r>
      <w:r w:rsidR="00504A0A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5F37C5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O planejamento orçamentário do Município será elaborado e acompanhado </w:t>
      </w:r>
      <w:r w:rsidR="004502CB" w:rsidRPr="00B66FA2">
        <w:rPr>
          <w:rFonts w:eastAsia="Times New Roman" w:cstheme="minorHAnsi"/>
          <w:sz w:val="24"/>
          <w:szCs w:val="24"/>
          <w:lang w:eastAsia="pt-BR"/>
        </w:rPr>
        <w:t>p</w:t>
      </w:r>
      <w:r w:rsidR="00D02E70" w:rsidRPr="00B66FA2">
        <w:rPr>
          <w:rFonts w:eastAsia="Times New Roman" w:cstheme="minorHAnsi"/>
          <w:sz w:val="24"/>
          <w:szCs w:val="24"/>
          <w:lang w:eastAsia="pt-BR"/>
        </w:rPr>
        <w:t>ela Secretaria Municipal de Planejamento e Participação Popular</w:t>
      </w:r>
      <w:r w:rsidR="006D1E23" w:rsidRPr="00B66FA2">
        <w:rPr>
          <w:rFonts w:eastAsia="Times New Roman" w:cstheme="minorHAnsi"/>
          <w:sz w:val="24"/>
          <w:szCs w:val="24"/>
          <w:lang w:eastAsia="pt-BR"/>
        </w:rPr>
        <w:t>, com auxílio do Comitê Municipal de Execução Orçamentária e Financeira.</w:t>
      </w:r>
    </w:p>
    <w:p w:rsidR="001B474F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 Entende-se por planejamento orçamentário os seguintes instrumentos de planejamento: </w:t>
      </w:r>
    </w:p>
    <w:p w:rsidR="001B474F" w:rsidRDefault="001B474F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 – PPA - Plano Plurianual;</w:t>
      </w:r>
    </w:p>
    <w:p w:rsidR="001B474F" w:rsidRDefault="001B474F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LDO - Lei de Diretrizes Orçamentárias</w:t>
      </w:r>
      <w:r>
        <w:rPr>
          <w:rFonts w:eastAsia="Times New Roman" w:cstheme="minorHAnsi"/>
          <w:sz w:val="24"/>
          <w:szCs w:val="24"/>
          <w:lang w:eastAsia="pt-BR"/>
        </w:rPr>
        <w:t>;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DE5E61" w:rsidRPr="00B66FA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DE5E61" w:rsidRPr="00B66FA2" w:rsidRDefault="001B474F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III –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LOA - Lei Orçamentária Anual.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V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DAS ALTERAÇÕES NA LEGISLAÇÃO TRIBUTÁRIA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>Art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19</w:t>
      </w:r>
      <w:r w:rsidR="00504A0A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Visando o aperfeiçoamento e atualização da legislação, o Poder Executivo poderá encaminhar à Câmara Municipal projetos de lei dispondo sobre alterações na legislação tributária, especialmente sobre: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revisão e atualização do Código Tributário Municipal, de forma a corrigir distorções;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revogações das isenções tributárias que contrariem o interesse público e a justiça fiscal;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III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revisão das taxas objetivando sua adequação aos custos efetivos dos serviços prestados e ao exercício do poder de polícia do Município;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IV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atualização da Planta Genérica de Valores ajustando-a aos movimentos de valorização do mercado imobiliário;</w:t>
      </w:r>
      <w:r w:rsidR="008C02C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 V </w:t>
      </w:r>
      <w:r w:rsidR="001B474F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aperfeiçoamento do sistema de fiscalização, cobrança, execução fiscal e arrecadação de tributos.</w:t>
      </w:r>
    </w:p>
    <w:p w:rsidR="00F71F7F" w:rsidRPr="00B66FA2" w:rsidRDefault="00F71F7F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20</w:t>
      </w:r>
      <w:r w:rsidR="00504A0A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Os projetos de lei de concessão ou ampliação de incentivo ou benefício de natureza tributária, da qual decorra renúncia de receita deverão atender as disposições contidas no artigo 14 da Lei </w:t>
      </w:r>
      <w:r w:rsidR="001B474F" w:rsidRPr="00B66FA2">
        <w:rPr>
          <w:rFonts w:eastAsia="Times New Roman" w:cstheme="minorHAnsi"/>
          <w:sz w:val="24"/>
          <w:szCs w:val="24"/>
          <w:lang w:eastAsia="pt-BR"/>
        </w:rPr>
        <w:t xml:space="preserve">Complementar </w:t>
      </w:r>
      <w:r w:rsidRPr="00B66FA2">
        <w:rPr>
          <w:rFonts w:eastAsia="Times New Roman" w:cstheme="minorHAnsi"/>
          <w:sz w:val="24"/>
          <w:szCs w:val="24"/>
          <w:lang w:eastAsia="pt-BR"/>
        </w:rPr>
        <w:t>Federal nº 101, de 2000.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B66FA2">
        <w:rPr>
          <w:rFonts w:eastAsia="Times New Roman" w:cstheme="minorHAnsi"/>
          <w:sz w:val="24"/>
          <w:szCs w:val="24"/>
          <w:lang w:eastAsia="pt-BR"/>
        </w:rPr>
        <w:t>CAPÍTULO VI</w:t>
      </w:r>
      <w:proofErr w:type="gramEnd"/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REPASSES AO TERCEIRO SETOR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 </w:t>
      </w:r>
      <w:r w:rsidR="00A758E1"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21</w:t>
      </w:r>
      <w:r w:rsidR="00504A0A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58E1" w:rsidRPr="00B66FA2">
        <w:rPr>
          <w:rFonts w:eastAsia="Times New Roman" w:cstheme="minorHAnsi"/>
          <w:sz w:val="24"/>
          <w:szCs w:val="24"/>
          <w:lang w:eastAsia="pt-BR"/>
        </w:rPr>
        <w:t>A destinação de recursos orçamentários às entidades privadas sem fins lucrativos deverá observar:</w:t>
      </w:r>
    </w:p>
    <w:p w:rsidR="00A758E1" w:rsidRPr="00B66FA2" w:rsidRDefault="00A758E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 – lei especifica que expressamente defina a destinação de recursos às entidades beneficiadas, nos termos do disposto no artigo 26 da Lei </w:t>
      </w:r>
      <w:r w:rsidR="00504A0A" w:rsidRPr="00B66FA2">
        <w:rPr>
          <w:rFonts w:eastAsia="Times New Roman" w:cstheme="minorHAnsi"/>
          <w:sz w:val="24"/>
          <w:szCs w:val="24"/>
          <w:lang w:eastAsia="pt-BR"/>
        </w:rPr>
        <w:t xml:space="preserve">Complementar </w:t>
      </w:r>
      <w:r w:rsidRPr="00B66FA2">
        <w:rPr>
          <w:rFonts w:eastAsia="Times New Roman" w:cstheme="minorHAnsi"/>
          <w:sz w:val="24"/>
          <w:szCs w:val="24"/>
          <w:lang w:eastAsia="pt-BR"/>
        </w:rPr>
        <w:t>Federal nº 101, de 2000;</w:t>
      </w:r>
    </w:p>
    <w:p w:rsidR="002258F2" w:rsidRPr="00B66FA2" w:rsidRDefault="00A758E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 – os dispostos, no que </w:t>
      </w:r>
      <w:proofErr w:type="gramStart"/>
      <w:r w:rsidRPr="00B66FA2">
        <w:rPr>
          <w:rFonts w:eastAsia="Times New Roman" w:cstheme="minorHAnsi"/>
          <w:sz w:val="24"/>
          <w:szCs w:val="24"/>
          <w:lang w:eastAsia="pt-BR"/>
        </w:rPr>
        <w:t>couber</w:t>
      </w:r>
      <w:r w:rsidR="00504A0A">
        <w:rPr>
          <w:rFonts w:eastAsia="Times New Roman" w:cstheme="minorHAnsi"/>
          <w:sz w:val="24"/>
          <w:szCs w:val="24"/>
          <w:lang w:eastAsia="pt-BR"/>
        </w:rPr>
        <w:t>,</w:t>
      </w:r>
      <w:proofErr w:type="gramEnd"/>
      <w:r w:rsidRPr="00B66FA2">
        <w:rPr>
          <w:rFonts w:eastAsia="Times New Roman" w:cstheme="minorHAnsi"/>
          <w:sz w:val="24"/>
          <w:szCs w:val="24"/>
          <w:lang w:eastAsia="pt-BR"/>
        </w:rPr>
        <w:t xml:space="preserve"> da Lei Federal nº 13.019, de 31 de julho de 2014 e suas alterações, que institui normas gerais para as parcerias entre a Administração Pública e as or</w:t>
      </w:r>
      <w:r w:rsidR="008C02C2">
        <w:rPr>
          <w:rFonts w:eastAsia="Times New Roman" w:cstheme="minorHAnsi"/>
          <w:sz w:val="24"/>
          <w:szCs w:val="24"/>
          <w:lang w:eastAsia="pt-BR"/>
        </w:rPr>
        <w:t>ganizações da sociedade civil; e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258F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7A1C2A" w:rsidRPr="00B66FA2" w:rsidRDefault="007A1C2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III – os dispostos, no que couber do Decreto Municipal nº 11.434, de 18 de julho de 2017 e suas alterações, que dispõe sobre as regras e procedimentos do regime jurídico das parcerias celebradas entre a Administração Pública do Município de Araraquara e as Organizações da Sociedade Civil.  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VII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 LIMITAÇÃO DAS DESPESAS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02C2">
        <w:rPr>
          <w:rFonts w:eastAsia="Times New Roman" w:cstheme="minorHAnsi"/>
          <w:b/>
          <w:sz w:val="24"/>
          <w:szCs w:val="24"/>
          <w:lang w:eastAsia="pt-BR"/>
        </w:rPr>
        <w:t>Art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22</w:t>
      </w:r>
      <w:r w:rsidR="000E7B7B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Na forma do art. 13 da </w:t>
      </w:r>
      <w:hyperlink r:id="rId10" w:history="1">
        <w:r w:rsidRPr="00B66FA2">
          <w:rPr>
            <w:rFonts w:eastAsia="Times New Roman" w:cstheme="minorHAnsi"/>
            <w:sz w:val="24"/>
            <w:szCs w:val="24"/>
            <w:lang w:eastAsia="pt-BR"/>
          </w:rPr>
          <w:t>Lei</w:t>
        </w:r>
        <w:r w:rsidR="006B7853" w:rsidRPr="00B66FA2">
          <w:rPr>
            <w:rFonts w:eastAsia="Times New Roman" w:cstheme="minorHAnsi"/>
            <w:sz w:val="24"/>
            <w:szCs w:val="24"/>
            <w:lang w:eastAsia="pt-BR"/>
          </w:rPr>
          <w:t xml:space="preserve"> </w:t>
        </w:r>
        <w:r w:rsidR="000E7B7B" w:rsidRPr="000E7B7B">
          <w:rPr>
            <w:rFonts w:eastAsia="Times New Roman" w:cstheme="minorHAnsi"/>
            <w:sz w:val="24"/>
            <w:szCs w:val="24"/>
            <w:lang w:eastAsia="pt-BR"/>
          </w:rPr>
          <w:t xml:space="preserve">Complementar </w:t>
        </w:r>
        <w:r w:rsidR="006B7853" w:rsidRPr="00B66FA2">
          <w:rPr>
            <w:rFonts w:eastAsia="Times New Roman" w:cstheme="minorHAnsi"/>
            <w:sz w:val="24"/>
            <w:szCs w:val="24"/>
            <w:lang w:eastAsia="pt-BR"/>
          </w:rPr>
          <w:t>Federal</w:t>
        </w:r>
        <w:r w:rsidRPr="00B66FA2">
          <w:rPr>
            <w:rFonts w:eastAsia="Times New Roman" w:cstheme="minorHAnsi"/>
            <w:sz w:val="24"/>
            <w:szCs w:val="24"/>
            <w:lang w:eastAsia="pt-BR"/>
          </w:rPr>
          <w:t xml:space="preserve"> nº 101</w:t>
        </w:r>
      </w:hyperlink>
      <w:r w:rsidR="006B7853" w:rsidRPr="00B66FA2">
        <w:rPr>
          <w:rFonts w:eastAsia="Times New Roman" w:cstheme="minorHAnsi"/>
          <w:sz w:val="24"/>
          <w:szCs w:val="24"/>
          <w:lang w:eastAsia="pt-BR"/>
        </w:rPr>
        <w:t>, de 2000</w:t>
      </w:r>
      <w:r w:rsidRPr="00B66FA2">
        <w:rPr>
          <w:rFonts w:eastAsia="Times New Roman" w:cstheme="minorHAnsi"/>
          <w:sz w:val="24"/>
          <w:szCs w:val="24"/>
          <w:lang w:eastAsia="pt-BR"/>
        </w:rPr>
        <w:t>, até 30 (trinta) dias após a publicação da lei orçamentária, o Executivo estabelecerá as metas bimestrais para a realização das receitas, e o Cronograma de Desembolso mensal.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1º Na hipótese de ser constatada, após o encerramento de cada bimestre, frustração na arrecadação de receitas capaz de comprometer a obtenção dos resultados nominal e primário fixados no Anexo de Metas Fiscais, por atos a serem adotados nos 30 (trinta) dias subsequentes, o Executivo e o Legislativo </w:t>
      </w: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>determinarão a limitação de empenho e movimentação financeira, em montantes necessários à preservação dos resultados estabelecidos.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§ 2º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Ao determinarem a limitação de empenho e movimentação financeira, os Chefes dos Poderes Executivo e Legislativo adotarão critérios que produzam o menor impacto possível nas ações de caráter social, particularmente a educação, saúde e assistência social.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§ 3º Não se admitirá a limitação de empenho e movimentação financeira nas despesas vinculadas, caso a frustração na arrecadação não esteja ocorrendo nas respectivas receitas.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§ 4º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Não serão objeto de limitação de empenho e movimentação financeira as despesas que constituam obrigações legais do Município, inclusive as destinadas ao pagamento do serviço da dívida, precatórios judiciais e despesas com pessoal e encargos.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§ 5º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A limitação de empenho e movimentação financeira também será adotada na hipótese de ser necessária a redução de eventual excesso da dívida consolidada em relação à meta fixada no Anexo de Metas Fiscais, obedecendo-se ao que dispõe o art</w:t>
      </w:r>
      <w:r w:rsidR="000A3C0C">
        <w:rPr>
          <w:rFonts w:eastAsia="Times New Roman" w:cstheme="minorHAnsi"/>
          <w:sz w:val="24"/>
          <w:szCs w:val="24"/>
          <w:lang w:eastAsia="pt-BR"/>
        </w:rPr>
        <w:t>igo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31 da </w:t>
      </w:r>
      <w:hyperlink r:id="rId11" w:history="1">
        <w:r w:rsidR="00DE5E61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Lei </w:t>
        </w:r>
        <w:r w:rsidR="000A3C0C" w:rsidRPr="000A3C0C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Complementar </w:t>
        </w:r>
        <w:r w:rsidR="006B7853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Federal</w:t>
        </w:r>
        <w:r w:rsidR="00E861C6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</w:t>
        </w:r>
        <w:r w:rsidR="00DE5E61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nº 101, de 2000</w:t>
        </w:r>
      </w:hyperlink>
      <w:r w:rsidR="00DE5E61"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>Art</w:t>
      </w:r>
      <w:r w:rsidR="00F72EA6" w:rsidRPr="008C02C2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23</w:t>
      </w:r>
      <w:r w:rsidR="000A3C0C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>A limitação de empenho e movimentação financeira de que trata o artigo anterior poderá ser suspensa, no todo ou em parte, caso a situação de frustração de receitas se reverta nos bimestres seguintes.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CAPÍTULO VII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DAS DISPOSIÇÕES RELATIVAS A DESPESAS COM PESSOAL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  <w:r w:rsidRPr="008C02C2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AB2862" w:rsidRPr="008C02C2">
        <w:rPr>
          <w:rFonts w:eastAsia="Times New Roman" w:cstheme="minorHAnsi"/>
          <w:b/>
          <w:sz w:val="24"/>
          <w:szCs w:val="24"/>
          <w:lang w:eastAsia="pt-BR"/>
        </w:rPr>
        <w:t>24</w:t>
      </w:r>
      <w:r w:rsidR="000A3C0C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O aumento da despesa com pessoal, em decorrência de qualquer das medidas relacionadas no </w:t>
      </w:r>
      <w:r w:rsidR="000A3C0C">
        <w:rPr>
          <w:rFonts w:eastAsia="Times New Roman" w:cstheme="minorHAnsi"/>
          <w:sz w:val="24"/>
          <w:szCs w:val="24"/>
          <w:lang w:eastAsia="pt-BR"/>
        </w:rPr>
        <w:t xml:space="preserve">§ 1º do </w:t>
      </w:r>
      <w:r w:rsidRPr="00B66FA2">
        <w:rPr>
          <w:rFonts w:eastAsia="Times New Roman" w:cstheme="minorHAnsi"/>
          <w:sz w:val="24"/>
          <w:szCs w:val="24"/>
          <w:lang w:eastAsia="pt-BR"/>
        </w:rPr>
        <w:t>art</w:t>
      </w:r>
      <w:r w:rsidR="000A3C0C">
        <w:rPr>
          <w:rFonts w:eastAsia="Times New Roman" w:cstheme="minorHAnsi"/>
          <w:sz w:val="24"/>
          <w:szCs w:val="24"/>
          <w:lang w:eastAsia="pt-BR"/>
        </w:rPr>
        <w:t>igo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169</w:t>
      </w:r>
      <w:r w:rsidR="000A3C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da </w:t>
      </w:r>
      <w:hyperlink r:id="rId12" w:history="1">
        <w:r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Constituição </w:t>
        </w:r>
      </w:hyperlink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da República Federativa do Brasil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poderá ser realizado mediante lei específica, desde que obe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decidos os limites previstos no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art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igo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20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 no parágrafo único 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do artigo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22, 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ambos 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da </w:t>
      </w:r>
      <w:hyperlink r:id="rId13" w:history="1">
        <w:r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Lei</w:t>
        </w:r>
        <w:r w:rsidR="00D64F29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</w:t>
        </w:r>
        <w:r w:rsidR="000A3C0C" w:rsidRPr="000A3C0C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Complementar </w:t>
        </w:r>
        <w:r w:rsidR="00D64F29"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>Federal</w:t>
        </w:r>
        <w:r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 nº 101, de 2000</w:t>
        </w:r>
      </w:hyperlink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</w:t>
      </w:r>
      <w:proofErr w:type="gramStart"/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cumpridas 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 exigências previstas nos art</w:t>
      </w:r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igos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16 e 17 do referido diploma legal, ficando autorizado o aumento da despesa com pessoal para:</w:t>
      </w:r>
    </w:p>
    <w:p w:rsidR="00DE5E61" w:rsidRPr="00E17A63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pacing w:val="-4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concessão de qualquer vantagem ou aumento de </w:t>
      </w: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remuneração, a criação de cargos, empregos e funções ou alteração de estruturas de carreiras; </w:t>
      </w:r>
      <w:proofErr w:type="gramStart"/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>e</w:t>
      </w:r>
      <w:proofErr w:type="gramEnd"/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> </w:t>
      </w:r>
    </w:p>
    <w:p w:rsidR="00DE5E61" w:rsidRPr="00E17A63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pacing w:val="-4"/>
          <w:sz w:val="24"/>
          <w:szCs w:val="24"/>
          <w:lang w:eastAsia="pt-BR"/>
        </w:rPr>
      </w:pP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II </w:t>
      </w:r>
      <w:r w:rsidR="000A3C0C" w:rsidRPr="00E17A63">
        <w:rPr>
          <w:rFonts w:eastAsia="Times New Roman" w:cstheme="minorHAnsi"/>
          <w:spacing w:val="-4"/>
          <w:sz w:val="24"/>
          <w:szCs w:val="24"/>
          <w:lang w:eastAsia="pt-BR"/>
        </w:rPr>
        <w:t>–</w:t>
      </w: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admissão de pessoal ou contratação a qualquer título. </w:t>
      </w:r>
    </w:p>
    <w:p w:rsidR="00DE5E61" w:rsidRPr="00B66FA2" w:rsidRDefault="008C02C2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§ 1º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 Os aumentos de que trata este artigo somente poderão ocorrer se houver prévia dotação orçamentária suficiente para atender às projeções de despesa de pessoal e aos acréscimos dela decorrentes.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§ 2º No caso do Poder Legislativo, deverão ser obedecidos, adicionalmente, os limites fixados nos art. 29 e 29-A da </w:t>
      </w:r>
      <w:hyperlink r:id="rId14" w:history="1">
        <w:r w:rsidRPr="00B66FA2">
          <w:rPr>
            <w:rFonts w:eastAsia="Times New Roman" w:cstheme="minorHAnsi"/>
            <w:color w:val="000000" w:themeColor="text1"/>
            <w:sz w:val="24"/>
            <w:szCs w:val="24"/>
            <w:lang w:eastAsia="pt-BR"/>
          </w:rPr>
          <w:t xml:space="preserve">Constituição </w:t>
        </w:r>
      </w:hyperlink>
      <w:r w:rsidR="000A3C0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da República Federativa do Brasil</w:t>
      </w:r>
      <w:r w:rsidRPr="00B66FA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 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CAPITULO IX</w:t>
      </w:r>
    </w:p>
    <w:p w:rsidR="00DE5E61" w:rsidRPr="00B66FA2" w:rsidRDefault="00DE5E61" w:rsidP="008C02C2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DAS DISPOSIÇÕES GERAIS E FINAIS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0A3C0C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AB2862" w:rsidRPr="000A3C0C">
        <w:rPr>
          <w:rFonts w:eastAsia="Times New Roman" w:cstheme="minorHAnsi"/>
          <w:b/>
          <w:sz w:val="24"/>
          <w:szCs w:val="24"/>
          <w:lang w:eastAsia="pt-BR"/>
        </w:rPr>
        <w:t>25</w:t>
      </w:r>
      <w:r w:rsidR="000A3C0C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O Poder Executivo é autorizado, nos termos da </w:t>
      </w:r>
      <w:hyperlink r:id="rId15" w:history="1">
        <w:r w:rsidRPr="00B66FA2">
          <w:rPr>
            <w:rFonts w:eastAsia="Times New Roman" w:cstheme="minorHAnsi"/>
            <w:sz w:val="24"/>
            <w:szCs w:val="24"/>
            <w:lang w:eastAsia="pt-BR"/>
          </w:rPr>
          <w:t>Constituição Federal</w:t>
        </w:r>
      </w:hyperlink>
      <w:r w:rsidRPr="00B66FA2">
        <w:rPr>
          <w:rFonts w:eastAsia="Times New Roman" w:cstheme="minorHAnsi"/>
          <w:sz w:val="24"/>
          <w:szCs w:val="24"/>
          <w:lang w:eastAsia="pt-BR"/>
        </w:rPr>
        <w:t>, a: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realizar operações de crédito por antecipação da receita, nos termos da legislação em vigor; </w:t>
      </w:r>
    </w:p>
    <w:p w:rsidR="00DE5E61" w:rsidRPr="00B66FA2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II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realizar operações de crédito até o limite estabelecido pela legislação em vigor; </w:t>
      </w:r>
    </w:p>
    <w:p w:rsidR="00DE5E61" w:rsidRPr="00E17A63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pacing w:val="-4"/>
          <w:sz w:val="24"/>
          <w:szCs w:val="24"/>
          <w:lang w:eastAsia="pt-BR"/>
        </w:rPr>
      </w:pP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III </w:t>
      </w:r>
      <w:r w:rsidR="000A3C0C" w:rsidRPr="00E17A63">
        <w:rPr>
          <w:rFonts w:eastAsia="Times New Roman" w:cstheme="minorHAnsi"/>
          <w:spacing w:val="-4"/>
          <w:sz w:val="24"/>
          <w:szCs w:val="24"/>
          <w:lang w:eastAsia="pt-BR"/>
        </w:rPr>
        <w:t>–</w:t>
      </w: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abrir créditos suplementares</w:t>
      </w:r>
      <w:r w:rsidR="005E2424"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e especiais</w:t>
      </w: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até o limite de </w:t>
      </w:r>
      <w:r w:rsidR="00B12521" w:rsidRPr="00E17A63">
        <w:rPr>
          <w:rFonts w:eastAsia="Times New Roman" w:cstheme="minorHAnsi"/>
          <w:spacing w:val="-4"/>
          <w:sz w:val="24"/>
          <w:szCs w:val="24"/>
          <w:lang w:eastAsia="pt-BR"/>
        </w:rPr>
        <w:t>20% (vinte</w:t>
      </w:r>
      <w:r w:rsidR="000A3C0C"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por cento</w:t>
      </w:r>
      <w:r w:rsidR="00B12521" w:rsidRPr="00E17A63">
        <w:rPr>
          <w:rFonts w:eastAsia="Times New Roman" w:cstheme="minorHAnsi"/>
          <w:spacing w:val="-4"/>
          <w:sz w:val="24"/>
          <w:szCs w:val="24"/>
          <w:lang w:eastAsia="pt-BR"/>
        </w:rPr>
        <w:t>)</w:t>
      </w:r>
      <w:r w:rsidR="001A6ABD" w:rsidRPr="00E17A63">
        <w:rPr>
          <w:rFonts w:eastAsia="Times New Roman" w:cstheme="minorHAnsi"/>
          <w:spacing w:val="-4"/>
          <w:sz w:val="24"/>
          <w:szCs w:val="24"/>
          <w:lang w:eastAsia="pt-BR"/>
        </w:rPr>
        <w:t xml:space="preserve"> </w:t>
      </w:r>
      <w:r w:rsidRPr="00E17A63">
        <w:rPr>
          <w:rFonts w:eastAsia="Times New Roman" w:cstheme="minorHAnsi"/>
          <w:spacing w:val="-4"/>
          <w:sz w:val="24"/>
          <w:szCs w:val="24"/>
          <w:lang w:eastAsia="pt-BR"/>
        </w:rPr>
        <w:t>do orçamento total das despesas, nos termos da legislação vigente; </w:t>
      </w:r>
    </w:p>
    <w:p w:rsidR="007A1C2A" w:rsidRPr="00B66FA2" w:rsidRDefault="007A1C2A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 xml:space="preserve">IV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abrir créditos suplementares em virtude do excesso de arrecadação apurado no mês ou com base na sua projeção; </w:t>
      </w:r>
    </w:p>
    <w:p w:rsidR="00DE5E61" w:rsidRPr="00B66FA2" w:rsidRDefault="00331D50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lastRenderedPageBreak/>
        <w:t xml:space="preserve">V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a abrir no curso da execução do orçamento de </w:t>
      </w:r>
      <w:r w:rsidR="001E4636" w:rsidRPr="00B66FA2">
        <w:rPr>
          <w:rFonts w:eastAsia="Times New Roman" w:cstheme="minorHAnsi"/>
          <w:sz w:val="24"/>
          <w:szCs w:val="24"/>
          <w:lang w:eastAsia="pt-BR"/>
        </w:rPr>
        <w:t>2020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, créditos suplementares de dotações vinculadas a recursos de outras fontes específicas, até o limite dos valores efetivamente recebidos; </w:t>
      </w:r>
    </w:p>
    <w:p w:rsidR="00DE5E61" w:rsidRPr="00B66FA2" w:rsidRDefault="00331D50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V</w:t>
      </w:r>
      <w:r w:rsidR="001A06AE" w:rsidRPr="00B66FA2">
        <w:rPr>
          <w:rFonts w:eastAsia="Times New Roman" w:cstheme="minorHAnsi"/>
          <w:sz w:val="24"/>
          <w:szCs w:val="24"/>
          <w:lang w:eastAsia="pt-BR"/>
        </w:rPr>
        <w:t>I</w:t>
      </w:r>
      <w:r w:rsidRPr="00B66FA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A3C0C">
        <w:rPr>
          <w:rFonts w:eastAsia="Times New Roman" w:cstheme="minorHAnsi"/>
          <w:sz w:val="24"/>
          <w:szCs w:val="24"/>
          <w:lang w:eastAsia="pt-BR"/>
        </w:rPr>
        <w:t>–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transpor, remanejar ou transferir recursos, dentro de uma mesma categoria de programação, sem prévia autorização legislativa; </w:t>
      </w:r>
      <w:proofErr w:type="gramStart"/>
      <w:r w:rsidR="008C02C2">
        <w:rPr>
          <w:rFonts w:eastAsia="Times New Roman" w:cstheme="minorHAnsi"/>
          <w:sz w:val="24"/>
          <w:szCs w:val="24"/>
          <w:lang w:eastAsia="pt-BR"/>
        </w:rPr>
        <w:t>e</w:t>
      </w:r>
      <w:proofErr w:type="gramEnd"/>
    </w:p>
    <w:p w:rsidR="00DE5E61" w:rsidRPr="00B66FA2" w:rsidRDefault="00331D50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B66FA2">
        <w:rPr>
          <w:rFonts w:eastAsia="Times New Roman" w:cstheme="minorHAnsi"/>
          <w:sz w:val="24"/>
          <w:szCs w:val="24"/>
          <w:lang w:eastAsia="pt-BR"/>
        </w:rPr>
        <w:t>V</w:t>
      </w:r>
      <w:r w:rsidR="001A06AE" w:rsidRPr="00B66FA2">
        <w:rPr>
          <w:rFonts w:eastAsia="Times New Roman" w:cstheme="minorHAnsi"/>
          <w:sz w:val="24"/>
          <w:szCs w:val="24"/>
          <w:lang w:eastAsia="pt-BR"/>
        </w:rPr>
        <w:t>I</w:t>
      </w:r>
      <w:r w:rsidRPr="00B66FA2">
        <w:rPr>
          <w:rFonts w:eastAsia="Times New Roman" w:cstheme="minorHAnsi"/>
          <w:sz w:val="24"/>
          <w:szCs w:val="24"/>
          <w:lang w:eastAsia="pt-BR"/>
        </w:rPr>
        <w:t>I</w:t>
      </w:r>
      <w:r w:rsidR="000A3C0C">
        <w:rPr>
          <w:rFonts w:eastAsia="Times New Roman" w:cstheme="minorHAnsi"/>
          <w:sz w:val="24"/>
          <w:szCs w:val="24"/>
          <w:lang w:eastAsia="pt-BR"/>
        </w:rPr>
        <w:t xml:space="preserve"> –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 firmar parcerias com outros entes da Federação, para manutenção de suas atividades, bem como as do Município. </w:t>
      </w:r>
    </w:p>
    <w:p w:rsidR="00DE5E61" w:rsidRPr="00FF3055" w:rsidRDefault="00623414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623414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 xml:space="preserve"> A autorização prevista no inciso V </w:t>
      </w:r>
      <w:r w:rsidR="000A3C0C">
        <w:rPr>
          <w:rFonts w:eastAsia="Times New Roman" w:cstheme="minorHAnsi"/>
          <w:sz w:val="24"/>
          <w:szCs w:val="24"/>
          <w:lang w:eastAsia="pt-BR"/>
        </w:rPr>
        <w:t xml:space="preserve">do “caput” deste artigo </w:t>
      </w:r>
      <w:r w:rsidR="00DE5E61" w:rsidRPr="00B66FA2">
        <w:rPr>
          <w:rFonts w:eastAsia="Times New Roman" w:cstheme="minorHAnsi"/>
          <w:sz w:val="24"/>
          <w:szCs w:val="24"/>
          <w:lang w:eastAsia="pt-BR"/>
        </w:rPr>
        <w:t>é destinada para os casos em que já exista no orçamento a funcional programática completa (função, subfunção, programa, ação, categoria) e exista a necessidade da criação de outra Fonte de Recursos para a mesma classificação. </w:t>
      </w:r>
    </w:p>
    <w:p w:rsidR="00DE5E61" w:rsidRPr="00FF3055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pacing w:val="-8"/>
          <w:sz w:val="24"/>
          <w:szCs w:val="24"/>
          <w:lang w:eastAsia="pt-BR"/>
        </w:rPr>
      </w:pPr>
      <w:r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 xml:space="preserve">Art. </w:t>
      </w:r>
      <w:r w:rsidR="00AB2862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2</w:t>
      </w:r>
      <w:r w:rsidR="00F72EA6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6</w:t>
      </w:r>
      <w:r w:rsidR="000A3C0C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.</w:t>
      </w:r>
      <w:r w:rsidR="00AB2862" w:rsidRPr="00FF3055">
        <w:rPr>
          <w:rFonts w:eastAsia="Times New Roman" w:cstheme="minorHAnsi"/>
          <w:spacing w:val="-8"/>
          <w:sz w:val="24"/>
          <w:szCs w:val="24"/>
          <w:lang w:eastAsia="pt-BR"/>
        </w:rPr>
        <w:t xml:space="preserve"> </w:t>
      </w:r>
      <w:r w:rsidRPr="00FF3055">
        <w:rPr>
          <w:rFonts w:eastAsia="Times New Roman" w:cstheme="minorHAnsi"/>
          <w:spacing w:val="-8"/>
          <w:sz w:val="24"/>
          <w:szCs w:val="24"/>
          <w:lang w:eastAsia="pt-BR"/>
        </w:rPr>
        <w:t>O Município poderá conceder incentivos fiscais ao desenvolvimento de atividades na área social, cultural e de esporte mediante leis especificas. </w:t>
      </w:r>
    </w:p>
    <w:p w:rsidR="00DE5E61" w:rsidRPr="00FF3055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pacing w:val="-8"/>
          <w:sz w:val="24"/>
          <w:szCs w:val="24"/>
          <w:lang w:eastAsia="pt-BR"/>
        </w:rPr>
      </w:pPr>
      <w:r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 xml:space="preserve">Art. </w:t>
      </w:r>
      <w:r w:rsidR="00AB2862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2</w:t>
      </w:r>
      <w:r w:rsidR="00F72EA6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7</w:t>
      </w:r>
      <w:r w:rsidR="000A3C0C" w:rsidRPr="00FF3055">
        <w:rPr>
          <w:rFonts w:eastAsia="Times New Roman" w:cstheme="minorHAnsi"/>
          <w:b/>
          <w:spacing w:val="-8"/>
          <w:sz w:val="24"/>
          <w:szCs w:val="24"/>
          <w:lang w:eastAsia="pt-BR"/>
        </w:rPr>
        <w:t>.</w:t>
      </w:r>
      <w:r w:rsidR="00AB2862" w:rsidRPr="00FF3055">
        <w:rPr>
          <w:rFonts w:eastAsia="Times New Roman" w:cstheme="minorHAnsi"/>
          <w:spacing w:val="-8"/>
          <w:sz w:val="24"/>
          <w:szCs w:val="24"/>
          <w:lang w:eastAsia="pt-BR"/>
        </w:rPr>
        <w:t xml:space="preserve"> </w:t>
      </w:r>
      <w:r w:rsidRPr="00FF3055">
        <w:rPr>
          <w:rFonts w:eastAsia="Times New Roman" w:cstheme="minorHAnsi"/>
          <w:spacing w:val="-8"/>
          <w:sz w:val="24"/>
          <w:szCs w:val="24"/>
          <w:lang w:eastAsia="pt-BR"/>
        </w:rPr>
        <w:t>Fica o Poder Executivo autorizado a custear despesas de responsabilidade de outras esferas de Governo, desde que firmados os respectivos convênios, termo de acordo, ajuste ou congênere e haja recursos orçamentários disponíveis. </w:t>
      </w:r>
    </w:p>
    <w:p w:rsidR="00DE5E61" w:rsidRPr="00FF3055" w:rsidRDefault="00F72EA6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3055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AB2862" w:rsidRPr="00FF3055">
        <w:rPr>
          <w:rFonts w:eastAsia="Times New Roman" w:cstheme="minorHAnsi"/>
          <w:b/>
          <w:sz w:val="24"/>
          <w:szCs w:val="24"/>
          <w:lang w:eastAsia="pt-BR"/>
        </w:rPr>
        <w:t>2</w:t>
      </w:r>
      <w:r w:rsidRPr="00FF3055">
        <w:rPr>
          <w:rFonts w:eastAsia="Times New Roman" w:cstheme="minorHAnsi"/>
          <w:b/>
          <w:sz w:val="24"/>
          <w:szCs w:val="24"/>
          <w:lang w:eastAsia="pt-BR"/>
        </w:rPr>
        <w:t>8</w:t>
      </w:r>
      <w:r w:rsidR="000A3C0C" w:rsidRPr="00FF3055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AB2862" w:rsidRPr="00FF305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E5E61" w:rsidRPr="00FF3055">
        <w:rPr>
          <w:rFonts w:eastAsia="Times New Roman" w:cstheme="minorHAnsi"/>
          <w:sz w:val="24"/>
          <w:szCs w:val="24"/>
          <w:lang w:eastAsia="pt-BR"/>
        </w:rPr>
        <w:t>Para a execução dos programas governamentais pelas entidades da Administração Indireta Municipal, o Poder Executivo poderá efetuar repasses através de transferências financeiras concedidas. </w:t>
      </w:r>
    </w:p>
    <w:p w:rsidR="00DE5E61" w:rsidRPr="00FF3055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3055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FF3055">
        <w:rPr>
          <w:rFonts w:eastAsia="Times New Roman" w:cstheme="minorHAnsi"/>
          <w:sz w:val="24"/>
          <w:szCs w:val="24"/>
          <w:lang w:eastAsia="pt-BR"/>
        </w:rPr>
        <w:t xml:space="preserve">  A Lei Orçamentária Anual conterá relatório que demonstre os repasses financeiros a serem executados em </w:t>
      </w:r>
      <w:r w:rsidR="001E4636" w:rsidRPr="00FF3055">
        <w:rPr>
          <w:rFonts w:eastAsia="Times New Roman" w:cstheme="minorHAnsi"/>
          <w:sz w:val="24"/>
          <w:szCs w:val="24"/>
          <w:lang w:eastAsia="pt-BR"/>
        </w:rPr>
        <w:t>2020</w:t>
      </w:r>
      <w:r w:rsidRPr="00FF3055">
        <w:rPr>
          <w:rFonts w:eastAsia="Times New Roman" w:cstheme="minorHAnsi"/>
          <w:sz w:val="24"/>
          <w:szCs w:val="24"/>
          <w:lang w:eastAsia="pt-BR"/>
        </w:rPr>
        <w:t>, listando os órgãos recebedores e seus respectivos valores.</w:t>
      </w:r>
    </w:p>
    <w:p w:rsidR="00DE5E61" w:rsidRPr="00FF3055" w:rsidRDefault="00DE5E61" w:rsidP="00B66FA2">
      <w:pPr>
        <w:spacing w:before="120" w:after="120" w:line="36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3055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F72EA6" w:rsidRPr="00FF3055">
        <w:rPr>
          <w:rFonts w:eastAsia="Times New Roman" w:cstheme="minorHAnsi"/>
          <w:b/>
          <w:sz w:val="24"/>
          <w:szCs w:val="24"/>
          <w:lang w:eastAsia="pt-BR"/>
        </w:rPr>
        <w:t>29</w:t>
      </w:r>
      <w:r w:rsidR="000A3C0C" w:rsidRPr="00FF3055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8C02C2" w:rsidRPr="00FF3055">
        <w:rPr>
          <w:rFonts w:eastAsia="Times New Roman" w:cstheme="minorHAnsi"/>
          <w:sz w:val="24"/>
          <w:szCs w:val="24"/>
          <w:lang w:eastAsia="pt-BR"/>
        </w:rPr>
        <w:t> Esta l</w:t>
      </w:r>
      <w:r w:rsidRPr="00FF3055">
        <w:rPr>
          <w:rFonts w:eastAsia="Times New Roman" w:cstheme="minorHAnsi"/>
          <w:sz w:val="24"/>
          <w:szCs w:val="24"/>
          <w:lang w:eastAsia="pt-BR"/>
        </w:rPr>
        <w:t>ei entra em vigor na data de sua p</w:t>
      </w:r>
      <w:r w:rsidR="000A3C0C" w:rsidRPr="00FF3055">
        <w:rPr>
          <w:rFonts w:eastAsia="Times New Roman" w:cstheme="minorHAnsi"/>
          <w:sz w:val="24"/>
          <w:szCs w:val="24"/>
          <w:lang w:eastAsia="pt-BR"/>
        </w:rPr>
        <w:t>ublicação</w:t>
      </w:r>
      <w:r w:rsidRPr="00FF3055">
        <w:rPr>
          <w:rFonts w:eastAsia="Times New Roman" w:cstheme="minorHAnsi"/>
          <w:sz w:val="24"/>
          <w:szCs w:val="24"/>
          <w:lang w:eastAsia="pt-BR"/>
        </w:rPr>
        <w:t>.</w:t>
      </w:r>
    </w:p>
    <w:p w:rsidR="008C02C2" w:rsidRDefault="008C02C2" w:rsidP="00E17A63">
      <w:pPr>
        <w:spacing w:before="120" w:after="120" w:line="240" w:lineRule="auto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>, aos</w:t>
      </w:r>
      <w:r w:rsidRPr="008C644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30</w:t>
      </w:r>
      <w:r w:rsidRPr="008C644A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trinta) dias</w:t>
      </w:r>
      <w:r w:rsidRPr="008C644A">
        <w:rPr>
          <w:rFonts w:ascii="Calibri" w:hAnsi="Calibri"/>
          <w:sz w:val="24"/>
          <w:szCs w:val="24"/>
        </w:rPr>
        <w:t xml:space="preserve"> do mês de </w:t>
      </w:r>
      <w:r>
        <w:rPr>
          <w:rFonts w:ascii="Calibri" w:hAnsi="Calibri"/>
          <w:sz w:val="24"/>
          <w:szCs w:val="24"/>
        </w:rPr>
        <w:t>abril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E17A63" w:rsidRPr="00BE4DA8" w:rsidRDefault="00E17A63" w:rsidP="00E17A63">
      <w:pPr>
        <w:spacing w:before="120" w:after="120" w:line="240" w:lineRule="auto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</w:tblGrid>
      <w:tr w:rsidR="00F73B9D" w:rsidRPr="009441C1" w:rsidTr="00F73B9D">
        <w:trPr>
          <w:jc w:val="center"/>
        </w:trPr>
        <w:tc>
          <w:tcPr>
            <w:tcW w:w="2410" w:type="dxa"/>
          </w:tcPr>
          <w:p w:rsidR="00F73B9D" w:rsidRPr="009441C1" w:rsidRDefault="00F73B9D" w:rsidP="00F73B9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9441C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EDINHO SILVA</w:t>
            </w:r>
          </w:p>
        </w:tc>
      </w:tr>
      <w:tr w:rsidR="00F73B9D" w:rsidRPr="009441C1" w:rsidTr="00F73B9D">
        <w:trPr>
          <w:jc w:val="center"/>
        </w:trPr>
        <w:tc>
          <w:tcPr>
            <w:tcW w:w="2410" w:type="dxa"/>
          </w:tcPr>
          <w:p w:rsidR="00F73B9D" w:rsidRPr="009441C1" w:rsidRDefault="00F73B9D" w:rsidP="00F73B9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9441C1">
              <w:rPr>
                <w:rFonts w:eastAsia="Times New Roman" w:cstheme="minorHAnsi"/>
                <w:sz w:val="24"/>
                <w:szCs w:val="24"/>
                <w:lang w:eastAsia="pt-BR"/>
              </w:rPr>
              <w:t>Prefeito Municipal</w:t>
            </w:r>
          </w:p>
        </w:tc>
      </w:tr>
    </w:tbl>
    <w:p w:rsidR="00DE5E61" w:rsidRPr="009441C1" w:rsidRDefault="00DE5E61" w:rsidP="00B26A2C">
      <w:pPr>
        <w:spacing w:before="100" w:beforeAutospacing="1" w:after="100" w:afterAutospacing="1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DE5E61" w:rsidRPr="009441C1" w:rsidSect="009F0806">
      <w:headerReference w:type="default" r:id="rId16"/>
      <w:footerReference w:type="default" r:id="rId1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A2" w:rsidRDefault="00B66FA2" w:rsidP="0088688C">
      <w:pPr>
        <w:spacing w:after="0" w:line="240" w:lineRule="auto"/>
      </w:pPr>
      <w:r>
        <w:separator/>
      </w:r>
    </w:p>
  </w:endnote>
  <w:endnote w:type="continuationSeparator" w:id="0">
    <w:p w:rsidR="00B66FA2" w:rsidRDefault="00B66FA2" w:rsidP="0088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5424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5EA6" w:rsidRDefault="00685EA6">
            <w:pPr>
              <w:pStyle w:val="Rodap"/>
              <w:jc w:val="right"/>
            </w:pPr>
            <w:r w:rsidRPr="00685EA6">
              <w:rPr>
                <w:sz w:val="20"/>
                <w:szCs w:val="20"/>
              </w:rPr>
              <w:t xml:space="preserve">Página </w: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begin"/>
            </w:r>
            <w:r w:rsidRPr="00685EA6">
              <w:rPr>
                <w:b/>
                <w:bCs/>
                <w:sz w:val="20"/>
                <w:szCs w:val="20"/>
              </w:rPr>
              <w:instrText>PAGE</w:instrTex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separate"/>
            </w:r>
            <w:r w:rsidR="00FF3055">
              <w:rPr>
                <w:b/>
                <w:bCs/>
                <w:noProof/>
                <w:sz w:val="20"/>
                <w:szCs w:val="20"/>
              </w:rPr>
              <w:t>14</w: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end"/>
            </w:r>
            <w:r w:rsidRPr="00685EA6">
              <w:rPr>
                <w:sz w:val="20"/>
                <w:szCs w:val="20"/>
              </w:rPr>
              <w:t xml:space="preserve"> de </w: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begin"/>
            </w:r>
            <w:r w:rsidRPr="00685EA6">
              <w:rPr>
                <w:b/>
                <w:bCs/>
                <w:sz w:val="20"/>
                <w:szCs w:val="20"/>
              </w:rPr>
              <w:instrText>NUMPAGES</w:instrTex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separate"/>
            </w:r>
            <w:r w:rsidR="00FF3055">
              <w:rPr>
                <w:b/>
                <w:bCs/>
                <w:noProof/>
                <w:sz w:val="20"/>
                <w:szCs w:val="20"/>
              </w:rPr>
              <w:t>14</w:t>
            </w:r>
            <w:r w:rsidR="00C32A69" w:rsidRPr="00685EA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66FA2" w:rsidRDefault="00B66F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A2" w:rsidRDefault="00B66FA2" w:rsidP="0088688C">
      <w:pPr>
        <w:spacing w:after="0" w:line="240" w:lineRule="auto"/>
      </w:pPr>
      <w:r>
        <w:separator/>
      </w:r>
    </w:p>
  </w:footnote>
  <w:footnote w:type="continuationSeparator" w:id="0">
    <w:p w:rsidR="00B66FA2" w:rsidRDefault="00B66FA2" w:rsidP="0088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A2" w:rsidRDefault="00B66FA2" w:rsidP="00B66FA2">
    <w:pPr>
      <w:pStyle w:val="Legend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799465" cy="876300"/>
          <wp:effectExtent l="19050" t="0" r="635" b="0"/>
          <wp:wrapTight wrapText="bothSides">
            <wp:wrapPolygon edited="0">
              <wp:start x="5147" y="0"/>
              <wp:lineTo x="3088" y="470"/>
              <wp:lineTo x="-515" y="5165"/>
              <wp:lineTo x="-515" y="17843"/>
              <wp:lineTo x="3603" y="21130"/>
              <wp:lineTo x="7206" y="21130"/>
              <wp:lineTo x="14926" y="21130"/>
              <wp:lineTo x="18014" y="21130"/>
              <wp:lineTo x="21617" y="17843"/>
              <wp:lineTo x="21617" y="6104"/>
              <wp:lineTo x="18014" y="470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6FA2" w:rsidRDefault="00B66FA2" w:rsidP="00B66FA2">
    <w:pPr>
      <w:pStyle w:val="Legenda"/>
    </w:pPr>
  </w:p>
  <w:p w:rsidR="00B66FA2" w:rsidRDefault="00B66FA2" w:rsidP="00B66FA2">
    <w:pPr>
      <w:pStyle w:val="Legenda"/>
    </w:pPr>
  </w:p>
  <w:p w:rsidR="00B66FA2" w:rsidRPr="00BE4DA8" w:rsidRDefault="00B66FA2" w:rsidP="00B66FA2">
    <w:pPr>
      <w:pStyle w:val="Legenda"/>
      <w:rPr>
        <w:sz w:val="12"/>
        <w:szCs w:val="24"/>
      </w:rPr>
    </w:pPr>
  </w:p>
  <w:p w:rsidR="00B66FA2" w:rsidRDefault="00B66FA2" w:rsidP="00B66FA2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B66FA2" w:rsidRDefault="00B66F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E5E61"/>
    <w:rsid w:val="00003547"/>
    <w:rsid w:val="0001608B"/>
    <w:rsid w:val="00042037"/>
    <w:rsid w:val="00050A2F"/>
    <w:rsid w:val="000633D6"/>
    <w:rsid w:val="000A3C0C"/>
    <w:rsid w:val="000B3462"/>
    <w:rsid w:val="000E7B7B"/>
    <w:rsid w:val="000F1F0A"/>
    <w:rsid w:val="001106C8"/>
    <w:rsid w:val="0015691E"/>
    <w:rsid w:val="00175B68"/>
    <w:rsid w:val="001A06AE"/>
    <w:rsid w:val="001A6ABD"/>
    <w:rsid w:val="001B474F"/>
    <w:rsid w:val="001E4636"/>
    <w:rsid w:val="002258F2"/>
    <w:rsid w:val="00237B32"/>
    <w:rsid w:val="00253688"/>
    <w:rsid w:val="002577D1"/>
    <w:rsid w:val="00272CBC"/>
    <w:rsid w:val="002833A6"/>
    <w:rsid w:val="00292B6F"/>
    <w:rsid w:val="0029355D"/>
    <w:rsid w:val="002A6BCF"/>
    <w:rsid w:val="002B52E2"/>
    <w:rsid w:val="002C525C"/>
    <w:rsid w:val="00321913"/>
    <w:rsid w:val="00331D50"/>
    <w:rsid w:val="003359AF"/>
    <w:rsid w:val="003869FC"/>
    <w:rsid w:val="003A1BAD"/>
    <w:rsid w:val="003E6651"/>
    <w:rsid w:val="00413503"/>
    <w:rsid w:val="00426BF6"/>
    <w:rsid w:val="00436E82"/>
    <w:rsid w:val="004502CB"/>
    <w:rsid w:val="004545EE"/>
    <w:rsid w:val="004671C5"/>
    <w:rsid w:val="00477296"/>
    <w:rsid w:val="004827BB"/>
    <w:rsid w:val="004B0C37"/>
    <w:rsid w:val="004B4E98"/>
    <w:rsid w:val="004C27C4"/>
    <w:rsid w:val="00500265"/>
    <w:rsid w:val="00503B7F"/>
    <w:rsid w:val="00504A0A"/>
    <w:rsid w:val="00507A71"/>
    <w:rsid w:val="00522B2E"/>
    <w:rsid w:val="00565FB0"/>
    <w:rsid w:val="00587E35"/>
    <w:rsid w:val="005B25A4"/>
    <w:rsid w:val="005E2424"/>
    <w:rsid w:val="005F37C5"/>
    <w:rsid w:val="00604B3E"/>
    <w:rsid w:val="00623414"/>
    <w:rsid w:val="006314AF"/>
    <w:rsid w:val="0064410C"/>
    <w:rsid w:val="00653607"/>
    <w:rsid w:val="00664C2E"/>
    <w:rsid w:val="00685EA6"/>
    <w:rsid w:val="006A439B"/>
    <w:rsid w:val="006B7853"/>
    <w:rsid w:val="006D1051"/>
    <w:rsid w:val="006D1E23"/>
    <w:rsid w:val="006F5200"/>
    <w:rsid w:val="006F7FBC"/>
    <w:rsid w:val="00707AEE"/>
    <w:rsid w:val="00717DC0"/>
    <w:rsid w:val="007301F0"/>
    <w:rsid w:val="00765348"/>
    <w:rsid w:val="00792232"/>
    <w:rsid w:val="00794ED2"/>
    <w:rsid w:val="007A1C2A"/>
    <w:rsid w:val="007B0FCA"/>
    <w:rsid w:val="007D3460"/>
    <w:rsid w:val="007D756A"/>
    <w:rsid w:val="007E227C"/>
    <w:rsid w:val="007E4D7B"/>
    <w:rsid w:val="00800D36"/>
    <w:rsid w:val="00817BE2"/>
    <w:rsid w:val="008221B6"/>
    <w:rsid w:val="008232DF"/>
    <w:rsid w:val="00850CEA"/>
    <w:rsid w:val="0086257E"/>
    <w:rsid w:val="0088688C"/>
    <w:rsid w:val="00894AD8"/>
    <w:rsid w:val="008C02C2"/>
    <w:rsid w:val="009441C1"/>
    <w:rsid w:val="00967661"/>
    <w:rsid w:val="00993E96"/>
    <w:rsid w:val="009D7209"/>
    <w:rsid w:val="009F0806"/>
    <w:rsid w:val="009F3CF8"/>
    <w:rsid w:val="00A57F66"/>
    <w:rsid w:val="00A758E1"/>
    <w:rsid w:val="00A75B4B"/>
    <w:rsid w:val="00A83E63"/>
    <w:rsid w:val="00AA20DA"/>
    <w:rsid w:val="00AB2862"/>
    <w:rsid w:val="00AC21EE"/>
    <w:rsid w:val="00B04C17"/>
    <w:rsid w:val="00B06F15"/>
    <w:rsid w:val="00B12521"/>
    <w:rsid w:val="00B26A2C"/>
    <w:rsid w:val="00B6362A"/>
    <w:rsid w:val="00B66FA2"/>
    <w:rsid w:val="00B80108"/>
    <w:rsid w:val="00B970C9"/>
    <w:rsid w:val="00B97B00"/>
    <w:rsid w:val="00BA6171"/>
    <w:rsid w:val="00C30C4F"/>
    <w:rsid w:val="00C32A69"/>
    <w:rsid w:val="00C32B9B"/>
    <w:rsid w:val="00C66D4A"/>
    <w:rsid w:val="00C82D60"/>
    <w:rsid w:val="00CA4D93"/>
    <w:rsid w:val="00CC46C2"/>
    <w:rsid w:val="00CD1769"/>
    <w:rsid w:val="00D02E70"/>
    <w:rsid w:val="00D11560"/>
    <w:rsid w:val="00D430B6"/>
    <w:rsid w:val="00D64F29"/>
    <w:rsid w:val="00DB4D84"/>
    <w:rsid w:val="00DC6F69"/>
    <w:rsid w:val="00DD193D"/>
    <w:rsid w:val="00DE5E61"/>
    <w:rsid w:val="00E17A63"/>
    <w:rsid w:val="00E228D5"/>
    <w:rsid w:val="00E2775B"/>
    <w:rsid w:val="00E861C6"/>
    <w:rsid w:val="00EB47EA"/>
    <w:rsid w:val="00EC0CC5"/>
    <w:rsid w:val="00ED17A1"/>
    <w:rsid w:val="00ED6FA0"/>
    <w:rsid w:val="00EE5FAD"/>
    <w:rsid w:val="00F549BB"/>
    <w:rsid w:val="00F56499"/>
    <w:rsid w:val="00F66608"/>
    <w:rsid w:val="00F70086"/>
    <w:rsid w:val="00F71F7F"/>
    <w:rsid w:val="00F72EA6"/>
    <w:rsid w:val="00F7319D"/>
    <w:rsid w:val="00F73B9D"/>
    <w:rsid w:val="00F9622B"/>
    <w:rsid w:val="00FA571B"/>
    <w:rsid w:val="00FB3D80"/>
    <w:rsid w:val="00FF1CE4"/>
    <w:rsid w:val="00FF3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5E61"/>
  </w:style>
  <w:style w:type="paragraph" w:styleId="Cabealho">
    <w:name w:val="header"/>
    <w:basedOn w:val="Normal"/>
    <w:link w:val="Cabealho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88C"/>
  </w:style>
  <w:style w:type="paragraph" w:styleId="Rodap">
    <w:name w:val="footer"/>
    <w:basedOn w:val="Normal"/>
    <w:link w:val="RodapChar"/>
    <w:uiPriority w:val="99"/>
    <w:unhideWhenUsed/>
    <w:rsid w:val="00886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88C"/>
  </w:style>
  <w:style w:type="paragraph" w:styleId="Textodebalo">
    <w:name w:val="Balloon Text"/>
    <w:basedOn w:val="Normal"/>
    <w:link w:val="TextodebaloChar"/>
    <w:uiPriority w:val="99"/>
    <w:semiHidden/>
    <w:unhideWhenUsed/>
    <w:rsid w:val="00A5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F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B66F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13" Type="http://schemas.openxmlformats.org/officeDocument/2006/relationships/hyperlink" Target="http://www.planalto.gov.br/ccivil_03/leis/LCP/Lcp10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hyperlink" Target="http://www.planalto.gov.br/ccivil_03/Constituicao/Constituicao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leis/LCP/Lcp101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hyperlink" Target="http://www.planalto.gov.br/ccivil_03/leis/LCP/Lcp101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CP/Lcp101.htm" TargetMode="External"/><Relationship Id="rId14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29E4-9282-460C-B9DC-21EBF1E6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3149</Words>
  <Characters>17010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SME</Company>
  <LinksUpToDate>false</LinksUpToDate>
  <CharactersWithSpaces>20119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Adriano Altieri</dc:creator>
  <cp:lastModifiedBy>mrsilva2</cp:lastModifiedBy>
  <cp:revision>18</cp:revision>
  <cp:lastPrinted>2019-04-30T13:10:00Z</cp:lastPrinted>
  <dcterms:created xsi:type="dcterms:W3CDTF">2019-04-11T13:31:00Z</dcterms:created>
  <dcterms:modified xsi:type="dcterms:W3CDTF">2019-04-30T13:14:00Z</dcterms:modified>
</cp:coreProperties>
</file>