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130/2019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JULIANA ANDRIÃO DAMUS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Leandro Antonio D’Todaro a via pública da sede do Município conhecida como Avenida “O”, do loteamento denominado Residencial Monte Carlo, com início na Rua “D” e término na Rua “E”,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CA" w:rsidRDefault="00223CCA" w:rsidP="00126850">
      <w:pPr>
        <w:spacing w:line="240" w:lineRule="auto"/>
      </w:pPr>
      <w:r>
        <w:separator/>
      </w:r>
    </w:p>
  </w:endnote>
  <w:endnote w:type="continuationSeparator" w:id="0">
    <w:p w:rsidR="00223CCA" w:rsidRDefault="00223CC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7127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7127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CA" w:rsidRDefault="00223CCA" w:rsidP="00126850">
      <w:pPr>
        <w:spacing w:line="240" w:lineRule="auto"/>
      </w:pPr>
      <w:r>
        <w:separator/>
      </w:r>
    </w:p>
  </w:footnote>
  <w:footnote w:type="continuationSeparator" w:id="0">
    <w:p w:rsidR="00223CCA" w:rsidRDefault="00223CC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3CCA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71276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C776-9775-4827-9DA9-3534F1D0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2019-04-25T17:57:00Z</dcterms:modified>
</cp:coreProperties>
</file>