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JULIANA ANDRIÃO DAMUS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Leandro Antonio D’Todaro a via pública da sede do Município conhecida como Avenida “O”, do loteamento denominado Residencial Monte Carlo, com início na Rua “D” e término na Rua “E”,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CCA" w:rsidRDefault="00223CCA" w:rsidP="00126850">
      <w:pPr>
        <w:spacing w:line="240" w:lineRule="auto"/>
      </w:pPr>
      <w:r>
        <w:separator/>
      </w:r>
    </w:p>
  </w:endnote>
  <w:endnote w:type="continuationSeparator" w:id="0">
    <w:p w:rsidR="00223CCA" w:rsidRDefault="00223CC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7127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7127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CCA" w:rsidRDefault="00223CCA" w:rsidP="00126850">
      <w:pPr>
        <w:spacing w:line="240" w:lineRule="auto"/>
      </w:pPr>
      <w:r>
        <w:separator/>
      </w:r>
    </w:p>
  </w:footnote>
  <w:footnote w:type="continuationSeparator" w:id="0">
    <w:p w:rsidR="00223CCA" w:rsidRDefault="00223CC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3CCA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71276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C776-9775-4827-9DA9-3534F1D0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2019-04-25T17:57:00Z</dcterms:modified>
</cp:coreProperties>
</file>