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84DC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84DC7">
        <w:rPr>
          <w:rFonts w:ascii="Tahoma" w:hAnsi="Tahoma" w:cs="Tahoma"/>
          <w:b/>
          <w:sz w:val="32"/>
          <w:szCs w:val="32"/>
          <w:u w:val="single"/>
        </w:rPr>
        <w:t>100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84DC7">
        <w:rPr>
          <w:rFonts w:ascii="Tahoma" w:hAnsi="Tahoma" w:cs="Tahoma"/>
          <w:b/>
          <w:sz w:val="32"/>
          <w:szCs w:val="32"/>
          <w:u w:val="single"/>
        </w:rPr>
        <w:t>050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84DC7" w:rsidRPr="00E84DC7" w:rsidRDefault="00E84DC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84DC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84DC7">
        <w:rPr>
          <w:rFonts w:ascii="Calibri" w:hAnsi="Calibri" w:cs="Calibri"/>
          <w:sz w:val="22"/>
          <w:szCs w:val="22"/>
        </w:rPr>
        <w:t xml:space="preserve">Denomina Rua </w:t>
      </w:r>
      <w:proofErr w:type="spellStart"/>
      <w:r w:rsidRPr="00E84DC7">
        <w:rPr>
          <w:rFonts w:ascii="Calibri" w:hAnsi="Calibri" w:cs="Calibri"/>
          <w:sz w:val="22"/>
          <w:szCs w:val="22"/>
        </w:rPr>
        <w:t>Gislane</w:t>
      </w:r>
      <w:proofErr w:type="spellEnd"/>
      <w:r w:rsidRPr="00E84DC7">
        <w:rPr>
          <w:rFonts w:ascii="Calibri" w:hAnsi="Calibri" w:cs="Calibri"/>
          <w:sz w:val="22"/>
          <w:szCs w:val="22"/>
        </w:rPr>
        <w:t xml:space="preserve"> Lílian Martins </w:t>
      </w:r>
      <w:proofErr w:type="spellStart"/>
      <w:r w:rsidRPr="00E84DC7">
        <w:rPr>
          <w:rFonts w:ascii="Calibri" w:hAnsi="Calibri" w:cs="Calibri"/>
          <w:sz w:val="22"/>
          <w:szCs w:val="22"/>
        </w:rPr>
        <w:t>Pierri</w:t>
      </w:r>
      <w:proofErr w:type="spellEnd"/>
      <w:r w:rsidRPr="00E84DC7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84DC7" w:rsidRPr="00E84DC7" w:rsidRDefault="00E84DC7" w:rsidP="00E84D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84DC7">
        <w:rPr>
          <w:rFonts w:ascii="Calibri" w:hAnsi="Calibri" w:cs="Calibri"/>
          <w:sz w:val="24"/>
          <w:szCs w:val="22"/>
        </w:rPr>
        <w:tab/>
      </w:r>
      <w:r w:rsidRPr="00E84DC7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E84DC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84DC7">
        <w:rPr>
          <w:rFonts w:ascii="Calibri" w:hAnsi="Calibri" w:cs="Calibri"/>
          <w:sz w:val="24"/>
          <w:szCs w:val="22"/>
        </w:rPr>
        <w:t>Fica</w:t>
      </w:r>
      <w:proofErr w:type="gramEnd"/>
      <w:r w:rsidRPr="00E84DC7">
        <w:rPr>
          <w:rFonts w:ascii="Calibri" w:hAnsi="Calibri" w:cs="Calibri"/>
          <w:sz w:val="24"/>
          <w:szCs w:val="22"/>
        </w:rPr>
        <w:t xml:space="preserve"> denominad</w:t>
      </w:r>
      <w:r>
        <w:rPr>
          <w:rFonts w:ascii="Calibri" w:hAnsi="Calibri" w:cs="Calibri"/>
          <w:sz w:val="24"/>
          <w:szCs w:val="22"/>
        </w:rPr>
        <w:t>o</w:t>
      </w:r>
      <w:bookmarkStart w:id="0" w:name="_GoBack"/>
      <w:bookmarkEnd w:id="0"/>
      <w:r w:rsidRPr="00E84DC7">
        <w:rPr>
          <w:rFonts w:ascii="Calibri" w:hAnsi="Calibri" w:cs="Calibri"/>
          <w:sz w:val="24"/>
          <w:szCs w:val="22"/>
        </w:rPr>
        <w:t xml:space="preserve"> Rua </w:t>
      </w:r>
      <w:proofErr w:type="spellStart"/>
      <w:r w:rsidRPr="00E84DC7">
        <w:rPr>
          <w:rFonts w:ascii="Calibri" w:hAnsi="Calibri" w:cs="Calibri"/>
          <w:sz w:val="24"/>
          <w:szCs w:val="22"/>
        </w:rPr>
        <w:t>Gislane</w:t>
      </w:r>
      <w:proofErr w:type="spellEnd"/>
      <w:r w:rsidRPr="00E84DC7">
        <w:rPr>
          <w:rFonts w:ascii="Calibri" w:hAnsi="Calibri" w:cs="Calibri"/>
          <w:sz w:val="24"/>
          <w:szCs w:val="22"/>
        </w:rPr>
        <w:t xml:space="preserve"> Lílian Martins </w:t>
      </w:r>
      <w:proofErr w:type="spellStart"/>
      <w:r w:rsidRPr="00E84DC7">
        <w:rPr>
          <w:rFonts w:ascii="Calibri" w:hAnsi="Calibri" w:cs="Calibri"/>
          <w:sz w:val="24"/>
          <w:szCs w:val="22"/>
        </w:rPr>
        <w:t>Pierri</w:t>
      </w:r>
      <w:proofErr w:type="spellEnd"/>
      <w:r w:rsidRPr="00E84DC7">
        <w:rPr>
          <w:rFonts w:ascii="Calibri" w:hAnsi="Calibri" w:cs="Calibri"/>
          <w:sz w:val="24"/>
          <w:szCs w:val="22"/>
        </w:rPr>
        <w:t xml:space="preserve"> o conjunto de vias públicas da sede do Município abrangido pela Alameda B e pela Alameda C, localizado no loteamento denominado Village </w:t>
      </w:r>
      <w:proofErr w:type="spellStart"/>
      <w:r w:rsidRPr="00E84DC7">
        <w:rPr>
          <w:rFonts w:ascii="Calibri" w:hAnsi="Calibri" w:cs="Calibri"/>
          <w:sz w:val="24"/>
          <w:szCs w:val="22"/>
        </w:rPr>
        <w:t>Damha</w:t>
      </w:r>
      <w:proofErr w:type="spellEnd"/>
      <w:r w:rsidRPr="00E84DC7">
        <w:rPr>
          <w:rFonts w:ascii="Calibri" w:hAnsi="Calibri" w:cs="Calibri"/>
          <w:sz w:val="24"/>
          <w:szCs w:val="22"/>
        </w:rPr>
        <w:t xml:space="preserve"> Araraquara, com início na Alameda H e término na Alameda Projetada A – LD, no mesmo loteamento. </w:t>
      </w:r>
    </w:p>
    <w:p w:rsidR="00E84DC7" w:rsidRPr="00E84DC7" w:rsidRDefault="00E84DC7" w:rsidP="00E84D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84DC7" w:rsidP="00E84D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84DC7">
        <w:rPr>
          <w:rFonts w:ascii="Calibri" w:hAnsi="Calibri" w:cs="Calibri"/>
          <w:sz w:val="24"/>
          <w:szCs w:val="22"/>
        </w:rPr>
        <w:t>Art. 2</w:t>
      </w:r>
      <w:proofErr w:type="gramStart"/>
      <w:r w:rsidRPr="00E84DC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84DC7">
        <w:rPr>
          <w:rFonts w:ascii="Calibri" w:hAnsi="Calibri" w:cs="Calibri"/>
          <w:sz w:val="24"/>
          <w:szCs w:val="22"/>
        </w:rPr>
        <w:t>Esta</w:t>
      </w:r>
      <w:proofErr w:type="gramEnd"/>
      <w:r w:rsidRPr="00E84DC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84DC7" w:rsidRPr="00646520" w:rsidRDefault="00E84DC7" w:rsidP="00E84D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4D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84D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4DC7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2019-04-15T21:35:00Z</dcterms:modified>
</cp:coreProperties>
</file>