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986D72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0C7CBE">
        <w:rPr>
          <w:rFonts w:ascii="Tahoma" w:hAnsi="Tahoma" w:cs="Tahoma"/>
          <w:b/>
          <w:sz w:val="32"/>
          <w:szCs w:val="32"/>
          <w:u w:val="single"/>
        </w:rPr>
        <w:t>087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0C7CBE">
        <w:rPr>
          <w:rFonts w:ascii="Tahoma" w:hAnsi="Tahoma" w:cs="Tahoma"/>
          <w:b/>
          <w:sz w:val="32"/>
          <w:szCs w:val="32"/>
          <w:u w:val="single"/>
        </w:rPr>
        <w:t>037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0C7CBE" w:rsidRPr="000C7CBE" w:rsidRDefault="000C7CBE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E PRIMEIRO SECRETÁRIO LUCAS GRECCO</w:t>
      </w:r>
    </w:p>
    <w:p w:rsidR="005A56CA" w:rsidRPr="00986D72" w:rsidRDefault="005A56CA" w:rsidP="00D47EAB">
      <w:pPr>
        <w:jc w:val="both"/>
        <w:rPr>
          <w:rFonts w:ascii="Calibri" w:hAnsi="Calibri" w:cs="Calibri"/>
          <w:sz w:val="14"/>
          <w:szCs w:val="14"/>
        </w:rPr>
      </w:pPr>
    </w:p>
    <w:p w:rsidR="005A56CA" w:rsidRPr="00986D72" w:rsidRDefault="005A56CA" w:rsidP="00D47EAB">
      <w:pPr>
        <w:jc w:val="both"/>
        <w:rPr>
          <w:rFonts w:ascii="Calibri" w:hAnsi="Calibri" w:cs="Calibri"/>
          <w:sz w:val="14"/>
          <w:szCs w:val="14"/>
        </w:rPr>
      </w:pPr>
    </w:p>
    <w:p w:rsidR="003A3A7C" w:rsidRPr="003A3A7C" w:rsidRDefault="00986D72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986D72">
        <w:rPr>
          <w:rFonts w:ascii="Calibri" w:hAnsi="Calibri" w:cs="Calibri"/>
          <w:sz w:val="22"/>
          <w:szCs w:val="22"/>
        </w:rPr>
        <w:t>Dispõe sobre a obrigatoriedade de implantação de sistema eletrônico de alarme detector de gás nos estabelecimentos que menciona e dá outras providências.</w:t>
      </w:r>
    </w:p>
    <w:p w:rsidR="003A3A7C" w:rsidRPr="00986D72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4"/>
          <w:szCs w:val="14"/>
        </w:rPr>
      </w:pPr>
    </w:p>
    <w:p w:rsidR="001C6D7E" w:rsidRPr="00986D72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4"/>
          <w:szCs w:val="14"/>
        </w:rPr>
      </w:pPr>
    </w:p>
    <w:p w:rsidR="00986D72" w:rsidRPr="00986D72" w:rsidRDefault="00986D72" w:rsidP="00986D7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986D72">
        <w:rPr>
          <w:rFonts w:ascii="Calibri" w:hAnsi="Calibri" w:cs="Calibri"/>
          <w:sz w:val="24"/>
          <w:szCs w:val="22"/>
        </w:rPr>
        <w:t>Art. 1</w:t>
      </w:r>
      <w:proofErr w:type="gramStart"/>
      <w:r w:rsidRPr="00986D72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986D72">
        <w:rPr>
          <w:rFonts w:ascii="Calibri" w:hAnsi="Calibri" w:cs="Calibri"/>
          <w:sz w:val="24"/>
          <w:szCs w:val="22"/>
        </w:rPr>
        <w:t>Ficam</w:t>
      </w:r>
      <w:proofErr w:type="gramEnd"/>
      <w:r w:rsidRPr="00986D72">
        <w:rPr>
          <w:rFonts w:ascii="Calibri" w:hAnsi="Calibri" w:cs="Calibri"/>
          <w:sz w:val="24"/>
          <w:szCs w:val="22"/>
        </w:rPr>
        <w:t xml:space="preserve"> obrigados a implantar o sistema eletrônico de alarme sonoro e luminoso de detector de gás liquefeito de petróleo e similares os seguintes estabelecimentos:</w:t>
      </w:r>
    </w:p>
    <w:p w:rsidR="00986D72" w:rsidRPr="00986D72" w:rsidRDefault="00986D72" w:rsidP="00986D7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986D72">
        <w:rPr>
          <w:rFonts w:ascii="Calibri" w:hAnsi="Calibri" w:cs="Calibri"/>
          <w:sz w:val="24"/>
          <w:szCs w:val="22"/>
        </w:rPr>
        <w:t>I – centros comerciais;</w:t>
      </w:r>
    </w:p>
    <w:p w:rsidR="00986D72" w:rsidRPr="00986D72" w:rsidRDefault="00986D72" w:rsidP="00986D7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986D72">
        <w:rPr>
          <w:rFonts w:ascii="Calibri" w:hAnsi="Calibri" w:cs="Calibri"/>
          <w:sz w:val="24"/>
          <w:szCs w:val="22"/>
        </w:rPr>
        <w:t>II – restaurantes;</w:t>
      </w:r>
    </w:p>
    <w:p w:rsidR="00986D72" w:rsidRPr="00986D72" w:rsidRDefault="00986D72" w:rsidP="00986D7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986D72">
        <w:rPr>
          <w:rFonts w:ascii="Calibri" w:hAnsi="Calibri" w:cs="Calibri"/>
          <w:sz w:val="24"/>
          <w:szCs w:val="22"/>
        </w:rPr>
        <w:t>III – lanchonetes;</w:t>
      </w:r>
    </w:p>
    <w:p w:rsidR="00986D72" w:rsidRPr="00986D72" w:rsidRDefault="00986D72" w:rsidP="00986D7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986D72">
        <w:rPr>
          <w:rFonts w:ascii="Calibri" w:hAnsi="Calibri" w:cs="Calibri"/>
          <w:sz w:val="24"/>
          <w:szCs w:val="22"/>
        </w:rPr>
        <w:t>IV – cozinhas industriais;</w:t>
      </w:r>
    </w:p>
    <w:p w:rsidR="00986D72" w:rsidRPr="00986D72" w:rsidRDefault="00986D72" w:rsidP="00986D7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986D72">
        <w:rPr>
          <w:rFonts w:ascii="Calibri" w:hAnsi="Calibri" w:cs="Calibri"/>
          <w:sz w:val="24"/>
          <w:szCs w:val="22"/>
        </w:rPr>
        <w:t>V – hotéis;</w:t>
      </w:r>
      <w:bookmarkStart w:id="0" w:name="_GoBack"/>
      <w:bookmarkEnd w:id="0"/>
    </w:p>
    <w:p w:rsidR="00986D72" w:rsidRPr="00986D72" w:rsidRDefault="00986D72" w:rsidP="00986D7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986D72">
        <w:rPr>
          <w:rFonts w:ascii="Calibri" w:hAnsi="Calibri" w:cs="Calibri"/>
          <w:sz w:val="24"/>
          <w:szCs w:val="22"/>
        </w:rPr>
        <w:t>VI – centrais de distribuição de gás encanado;</w:t>
      </w:r>
    </w:p>
    <w:p w:rsidR="00986D72" w:rsidRPr="00986D72" w:rsidRDefault="00986D72" w:rsidP="00986D7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986D72">
        <w:rPr>
          <w:rFonts w:ascii="Calibri" w:hAnsi="Calibri" w:cs="Calibri"/>
          <w:sz w:val="24"/>
          <w:szCs w:val="22"/>
        </w:rPr>
        <w:t>VII – lavanderia a gás; e</w:t>
      </w:r>
    </w:p>
    <w:p w:rsidR="00986D72" w:rsidRPr="00986D72" w:rsidRDefault="00986D72" w:rsidP="00986D7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986D72">
        <w:rPr>
          <w:rFonts w:ascii="Calibri" w:hAnsi="Calibri" w:cs="Calibri"/>
          <w:sz w:val="24"/>
          <w:szCs w:val="22"/>
        </w:rPr>
        <w:t xml:space="preserve">VIII – demais estabelecimentos comerciais ou industriais que revendam ou façam uso de gás liquefeito de petróleo ou similares. </w:t>
      </w:r>
    </w:p>
    <w:p w:rsidR="00986D72" w:rsidRPr="00986D72" w:rsidRDefault="00986D72" w:rsidP="00986D7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4"/>
          <w:szCs w:val="14"/>
        </w:rPr>
      </w:pPr>
    </w:p>
    <w:p w:rsidR="00986D72" w:rsidRPr="00986D72" w:rsidRDefault="00986D72" w:rsidP="00986D7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986D72">
        <w:rPr>
          <w:rFonts w:ascii="Calibri" w:hAnsi="Calibri" w:cs="Calibri"/>
          <w:sz w:val="24"/>
          <w:szCs w:val="22"/>
        </w:rPr>
        <w:t>Art. 2</w:t>
      </w:r>
      <w:proofErr w:type="gramStart"/>
      <w:r w:rsidRPr="00986D72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986D72">
        <w:rPr>
          <w:rFonts w:ascii="Calibri" w:hAnsi="Calibri" w:cs="Calibri"/>
          <w:sz w:val="24"/>
          <w:szCs w:val="22"/>
        </w:rPr>
        <w:t>O</w:t>
      </w:r>
      <w:proofErr w:type="gramEnd"/>
      <w:r w:rsidRPr="00986D72">
        <w:rPr>
          <w:rFonts w:ascii="Calibri" w:hAnsi="Calibri" w:cs="Calibri"/>
          <w:sz w:val="24"/>
          <w:szCs w:val="22"/>
        </w:rPr>
        <w:t xml:space="preserve"> não cumprimento desta lei sujeitará o infrator às seguintes penalidades:</w:t>
      </w:r>
    </w:p>
    <w:p w:rsidR="00986D72" w:rsidRPr="00986D72" w:rsidRDefault="00986D72" w:rsidP="00986D7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986D72">
        <w:rPr>
          <w:rFonts w:ascii="Calibri" w:hAnsi="Calibri" w:cs="Calibri"/>
          <w:sz w:val="24"/>
          <w:szCs w:val="22"/>
        </w:rPr>
        <w:t>I – notificação, sendo fixado prazo de até 30 (t</w:t>
      </w:r>
      <w:r>
        <w:rPr>
          <w:rFonts w:ascii="Calibri" w:hAnsi="Calibri" w:cs="Calibri"/>
          <w:sz w:val="24"/>
          <w:szCs w:val="22"/>
        </w:rPr>
        <w:t>rinta) dias para o cumprimento d</w:t>
      </w:r>
      <w:r w:rsidRPr="00986D72">
        <w:rPr>
          <w:rFonts w:ascii="Calibri" w:hAnsi="Calibri" w:cs="Calibri"/>
          <w:sz w:val="24"/>
          <w:szCs w:val="22"/>
        </w:rPr>
        <w:t xml:space="preserve">o disposto </w:t>
      </w:r>
      <w:r>
        <w:rPr>
          <w:rFonts w:ascii="Calibri" w:hAnsi="Calibri" w:cs="Calibri"/>
          <w:sz w:val="24"/>
          <w:szCs w:val="22"/>
        </w:rPr>
        <w:t>n</w:t>
      </w:r>
      <w:r w:rsidRPr="00986D72">
        <w:rPr>
          <w:rFonts w:ascii="Calibri" w:hAnsi="Calibri" w:cs="Calibri"/>
          <w:sz w:val="24"/>
          <w:szCs w:val="22"/>
        </w:rPr>
        <w:t>o art. 1º;</w:t>
      </w:r>
    </w:p>
    <w:p w:rsidR="00986D72" w:rsidRPr="00986D72" w:rsidRDefault="00986D72" w:rsidP="00986D7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986D72">
        <w:rPr>
          <w:rFonts w:ascii="Calibri" w:hAnsi="Calibri" w:cs="Calibri"/>
          <w:sz w:val="24"/>
          <w:szCs w:val="22"/>
        </w:rPr>
        <w:t>II – decorrido o prazo especificado no inciso I deste artigo e constatado o não cumprimento desta lei, será cobrada multa na ordem de 10 (dez) Unidades Fiscais Municipais;</w:t>
      </w:r>
    </w:p>
    <w:p w:rsidR="00986D72" w:rsidRPr="00986D72" w:rsidRDefault="00986D72" w:rsidP="00986D7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986D72">
        <w:rPr>
          <w:rFonts w:ascii="Calibri" w:hAnsi="Calibri" w:cs="Calibri"/>
          <w:sz w:val="24"/>
          <w:szCs w:val="22"/>
        </w:rPr>
        <w:t>III – decorrido o prazo de 30 (trinta) dias, a contar da aplicação da multa prevista no inciso II deste artigo, sem que seja constatado o cumprimento desta lei, a multa será aplicada pelo seu dobro; e</w:t>
      </w:r>
    </w:p>
    <w:p w:rsidR="00986D72" w:rsidRPr="00986D72" w:rsidRDefault="00986D72" w:rsidP="00986D7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986D72">
        <w:rPr>
          <w:rFonts w:ascii="Calibri" w:hAnsi="Calibri" w:cs="Calibri"/>
          <w:sz w:val="24"/>
          <w:szCs w:val="22"/>
        </w:rPr>
        <w:t>IV – decorrido o prazo de 30 (trinta) dias, a contar da aplicação da multa prevista no inciso III deste artigo, e persistindo a infração, além da cobrança da multa, acarretará sucessivamente ao infrator:</w:t>
      </w:r>
    </w:p>
    <w:p w:rsidR="00986D72" w:rsidRPr="00986D72" w:rsidRDefault="00986D72" w:rsidP="00986D7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986D72">
        <w:rPr>
          <w:rFonts w:ascii="Calibri" w:hAnsi="Calibri" w:cs="Calibri"/>
          <w:sz w:val="24"/>
          <w:szCs w:val="22"/>
        </w:rPr>
        <w:t>a) suspensão do alvará de funcionamento por</w:t>
      </w:r>
      <w:r>
        <w:rPr>
          <w:rFonts w:ascii="Calibri" w:hAnsi="Calibri" w:cs="Calibri"/>
          <w:sz w:val="24"/>
          <w:szCs w:val="22"/>
        </w:rPr>
        <w:t xml:space="preserve"> 120</w:t>
      </w:r>
      <w:r w:rsidRPr="00986D72">
        <w:rPr>
          <w:rFonts w:ascii="Calibri" w:hAnsi="Calibri" w:cs="Calibri"/>
          <w:sz w:val="24"/>
          <w:szCs w:val="22"/>
        </w:rPr>
        <w:t xml:space="preserve"> </w:t>
      </w:r>
      <w:r>
        <w:rPr>
          <w:rFonts w:ascii="Calibri" w:hAnsi="Calibri" w:cs="Calibri"/>
          <w:sz w:val="24"/>
          <w:szCs w:val="22"/>
        </w:rPr>
        <w:t>(</w:t>
      </w:r>
      <w:r w:rsidRPr="00986D72">
        <w:rPr>
          <w:rFonts w:ascii="Calibri" w:hAnsi="Calibri" w:cs="Calibri"/>
          <w:sz w:val="24"/>
          <w:szCs w:val="22"/>
        </w:rPr>
        <w:t>cento e vinte</w:t>
      </w:r>
      <w:r>
        <w:rPr>
          <w:rFonts w:ascii="Calibri" w:hAnsi="Calibri" w:cs="Calibri"/>
          <w:sz w:val="24"/>
          <w:szCs w:val="22"/>
        </w:rPr>
        <w:t>)</w:t>
      </w:r>
      <w:r w:rsidRPr="00986D72">
        <w:rPr>
          <w:rFonts w:ascii="Calibri" w:hAnsi="Calibri" w:cs="Calibri"/>
          <w:sz w:val="24"/>
          <w:szCs w:val="22"/>
        </w:rPr>
        <w:t xml:space="preserve"> dias; e</w:t>
      </w:r>
    </w:p>
    <w:p w:rsidR="00986D72" w:rsidRPr="00986D72" w:rsidRDefault="00986D72" w:rsidP="00986D7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986D72">
        <w:rPr>
          <w:rFonts w:ascii="Calibri" w:hAnsi="Calibri" w:cs="Calibri"/>
          <w:sz w:val="24"/>
          <w:szCs w:val="22"/>
        </w:rPr>
        <w:t>b) cassação do alvará de funcionamento.</w:t>
      </w:r>
    </w:p>
    <w:p w:rsidR="00986D72" w:rsidRPr="00986D72" w:rsidRDefault="00986D72" w:rsidP="00986D7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4"/>
          <w:szCs w:val="14"/>
        </w:rPr>
      </w:pPr>
    </w:p>
    <w:p w:rsidR="00986D72" w:rsidRPr="00986D72" w:rsidRDefault="00986D72" w:rsidP="00986D7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986D72">
        <w:rPr>
          <w:rFonts w:ascii="Calibri" w:hAnsi="Calibri" w:cs="Calibri"/>
          <w:sz w:val="24"/>
          <w:szCs w:val="22"/>
        </w:rPr>
        <w:t xml:space="preserve">Parágrafo único. </w:t>
      </w:r>
      <w:r>
        <w:rPr>
          <w:rFonts w:ascii="Calibri" w:hAnsi="Calibri" w:cs="Calibri"/>
          <w:sz w:val="24"/>
          <w:szCs w:val="22"/>
        </w:rPr>
        <w:t xml:space="preserve"> </w:t>
      </w:r>
      <w:r w:rsidRPr="00986D72">
        <w:rPr>
          <w:rFonts w:ascii="Calibri" w:hAnsi="Calibri" w:cs="Calibri"/>
          <w:sz w:val="24"/>
          <w:szCs w:val="22"/>
        </w:rPr>
        <w:t xml:space="preserve">A suspensão só será cancelada depois da implantação de que trata esta lei. </w:t>
      </w:r>
    </w:p>
    <w:p w:rsidR="00986D72" w:rsidRPr="00986D72" w:rsidRDefault="00986D72" w:rsidP="00986D7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4"/>
          <w:szCs w:val="14"/>
        </w:rPr>
      </w:pPr>
    </w:p>
    <w:p w:rsidR="006D45F8" w:rsidRDefault="00986D72" w:rsidP="00986D7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986D72">
        <w:rPr>
          <w:rFonts w:ascii="Calibri" w:hAnsi="Calibri" w:cs="Calibri"/>
          <w:sz w:val="24"/>
          <w:szCs w:val="22"/>
        </w:rPr>
        <w:t>Art. 3</w:t>
      </w:r>
      <w:proofErr w:type="gramStart"/>
      <w:r w:rsidRPr="00986D72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Esta</w:t>
      </w:r>
      <w:proofErr w:type="gramEnd"/>
      <w:r>
        <w:rPr>
          <w:rFonts w:ascii="Calibri" w:hAnsi="Calibri" w:cs="Calibri"/>
          <w:sz w:val="24"/>
          <w:szCs w:val="22"/>
        </w:rPr>
        <w:t xml:space="preserve"> l</w:t>
      </w:r>
      <w:r w:rsidRPr="00986D72">
        <w:rPr>
          <w:rFonts w:ascii="Calibri" w:hAnsi="Calibri" w:cs="Calibri"/>
          <w:sz w:val="24"/>
          <w:szCs w:val="22"/>
        </w:rPr>
        <w:t>ei entra em vigor na data de sua publicação, produzindo efeitos a contar de 180 (cento e oitenta) dias.</w:t>
      </w:r>
    </w:p>
    <w:p w:rsidR="00986D72" w:rsidRPr="00986D72" w:rsidRDefault="00986D72" w:rsidP="00986D7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4"/>
          <w:szCs w:val="1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243249">
        <w:rPr>
          <w:rFonts w:ascii="Calibri" w:hAnsi="Calibri" w:cs="Calibri"/>
          <w:sz w:val="24"/>
          <w:szCs w:val="24"/>
        </w:rPr>
        <w:t>03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243249">
        <w:rPr>
          <w:rFonts w:ascii="Calibri" w:hAnsi="Calibri" w:cs="Calibri"/>
          <w:sz w:val="24"/>
          <w:szCs w:val="24"/>
        </w:rPr>
        <w:t>três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243249">
        <w:rPr>
          <w:rFonts w:ascii="Calibri" w:hAnsi="Calibri" w:cs="Calibri"/>
          <w:sz w:val="24"/>
          <w:szCs w:val="24"/>
        </w:rPr>
        <w:t>abril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1C6D7E" w:rsidRPr="00986D72" w:rsidRDefault="001C6D7E" w:rsidP="00D47EAB">
      <w:pPr>
        <w:rPr>
          <w:rFonts w:ascii="Calibri" w:hAnsi="Calibri" w:cs="Calibri"/>
          <w:sz w:val="14"/>
          <w:szCs w:val="1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986D72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986D72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C7CBE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86D72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319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158</cp:revision>
  <cp:lastPrinted>2018-06-26T22:41:00Z</cp:lastPrinted>
  <dcterms:created xsi:type="dcterms:W3CDTF">2016-08-16T19:55:00Z</dcterms:created>
  <dcterms:modified xsi:type="dcterms:W3CDTF">2019-04-02T15:22:00Z</dcterms:modified>
</cp:coreProperties>
</file>