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A7DE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A416A">
        <w:rPr>
          <w:rFonts w:ascii="Tahoma" w:hAnsi="Tahoma" w:cs="Tahoma"/>
          <w:b/>
          <w:sz w:val="32"/>
          <w:szCs w:val="32"/>
          <w:u w:val="single"/>
        </w:rPr>
        <w:t>022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A416A">
        <w:rPr>
          <w:rFonts w:ascii="Tahoma" w:hAnsi="Tahoma" w:cs="Tahoma"/>
          <w:b/>
          <w:sz w:val="32"/>
          <w:szCs w:val="32"/>
          <w:u w:val="single"/>
        </w:rPr>
        <w:t>022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6A416A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6A416A" w:rsidRPr="006A416A" w:rsidRDefault="006A416A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A416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A416A">
        <w:rPr>
          <w:rFonts w:ascii="Calibri" w:hAnsi="Calibri" w:cs="Calibri"/>
          <w:sz w:val="22"/>
          <w:szCs w:val="22"/>
        </w:rPr>
        <w:t>Altera a Lei Complementar nº 18, de 22 de dezembro de 1997 (Código de Posturas), de modo a proibir, no Município de Araraquara, a perturbação do sossego público por meio de fogos de artifício ruidosos que excedam os níveis de som permitidos.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A416A" w:rsidRPr="006A416A" w:rsidRDefault="006A416A" w:rsidP="006A41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A416A">
        <w:rPr>
          <w:rFonts w:ascii="Calibri" w:hAnsi="Calibri" w:cs="Calibri"/>
          <w:sz w:val="24"/>
          <w:szCs w:val="22"/>
        </w:rPr>
        <w:tab/>
      </w:r>
      <w:r w:rsidRPr="006A416A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6A416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A416A">
        <w:rPr>
          <w:rFonts w:ascii="Calibri" w:hAnsi="Calibri" w:cs="Calibri"/>
          <w:sz w:val="24"/>
          <w:szCs w:val="22"/>
        </w:rPr>
        <w:t>A</w:t>
      </w:r>
      <w:proofErr w:type="gramEnd"/>
      <w:r w:rsidRPr="006A416A">
        <w:rPr>
          <w:rFonts w:ascii="Calibri" w:hAnsi="Calibri" w:cs="Calibri"/>
          <w:sz w:val="24"/>
          <w:szCs w:val="22"/>
        </w:rPr>
        <w:t xml:space="preserve"> Lei Complementar nº 18, de 22 de dezembro de 1997, </w:t>
      </w:r>
      <w:r w:rsidR="009C742E">
        <w:rPr>
          <w:rFonts w:ascii="Calibri" w:hAnsi="Calibri" w:cs="Calibri"/>
          <w:sz w:val="24"/>
          <w:szCs w:val="22"/>
        </w:rPr>
        <w:t xml:space="preserve">passa a vigorar </w:t>
      </w:r>
      <w:r w:rsidRPr="006A416A">
        <w:rPr>
          <w:rFonts w:ascii="Calibri" w:hAnsi="Calibri" w:cs="Calibri"/>
          <w:sz w:val="24"/>
          <w:szCs w:val="22"/>
        </w:rPr>
        <w:t xml:space="preserve">com a seguinte </w:t>
      </w:r>
      <w:r w:rsidR="009C742E">
        <w:rPr>
          <w:rFonts w:ascii="Calibri" w:hAnsi="Calibri" w:cs="Calibri"/>
          <w:sz w:val="24"/>
          <w:szCs w:val="22"/>
        </w:rPr>
        <w:t>altera</w:t>
      </w:r>
      <w:r w:rsidRPr="006A416A">
        <w:rPr>
          <w:rFonts w:ascii="Calibri" w:hAnsi="Calibri" w:cs="Calibri"/>
          <w:sz w:val="24"/>
          <w:szCs w:val="22"/>
        </w:rPr>
        <w:t>ção:</w:t>
      </w:r>
    </w:p>
    <w:p w:rsidR="006A416A" w:rsidRPr="006A416A" w:rsidRDefault="006A416A" w:rsidP="006A41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A416A" w:rsidRPr="006A416A" w:rsidRDefault="006A416A" w:rsidP="006A416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A416A">
        <w:rPr>
          <w:rFonts w:ascii="Calibri" w:hAnsi="Calibri" w:cs="Calibri"/>
          <w:sz w:val="24"/>
          <w:szCs w:val="22"/>
        </w:rPr>
        <w:t>“Art. 39. ...</w:t>
      </w:r>
      <w:r w:rsidR="006B66E8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</w:t>
      </w:r>
    </w:p>
    <w:p w:rsidR="006A416A" w:rsidRPr="006A416A" w:rsidRDefault="006A416A" w:rsidP="006A416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A416A" w:rsidRPr="006A416A" w:rsidRDefault="006A416A" w:rsidP="006A416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A416A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6A416A">
        <w:rPr>
          <w:rFonts w:ascii="Calibri" w:hAnsi="Calibri" w:cs="Calibri"/>
          <w:sz w:val="24"/>
          <w:szCs w:val="22"/>
        </w:rPr>
        <w:t>A disposição constante neste artigo não se aplica ao inciso VI do art. 37 deste Código.” (NR)</w:t>
      </w:r>
    </w:p>
    <w:p w:rsidR="006A416A" w:rsidRDefault="006A416A" w:rsidP="006A41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C742E" w:rsidRDefault="009C742E" w:rsidP="009C74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A416A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2</w:t>
      </w:r>
      <w:proofErr w:type="gramStart"/>
      <w:r w:rsidRPr="006A416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Fica</w:t>
      </w:r>
      <w:proofErr w:type="gramEnd"/>
      <w:r>
        <w:rPr>
          <w:rFonts w:ascii="Calibri" w:hAnsi="Calibri" w:cs="Calibri"/>
          <w:sz w:val="24"/>
          <w:szCs w:val="22"/>
        </w:rPr>
        <w:t xml:space="preserve"> r</w:t>
      </w:r>
      <w:r w:rsidRPr="006A416A">
        <w:rPr>
          <w:rFonts w:ascii="Calibri" w:hAnsi="Calibri" w:cs="Calibri"/>
          <w:sz w:val="24"/>
          <w:szCs w:val="22"/>
        </w:rPr>
        <w:t>evoga</w:t>
      </w:r>
      <w:r>
        <w:rPr>
          <w:rFonts w:ascii="Calibri" w:hAnsi="Calibri" w:cs="Calibri"/>
          <w:sz w:val="24"/>
          <w:szCs w:val="22"/>
        </w:rPr>
        <w:t>do</w:t>
      </w:r>
      <w:r w:rsidRPr="006A416A">
        <w:rPr>
          <w:rFonts w:ascii="Calibri" w:hAnsi="Calibri" w:cs="Calibri"/>
          <w:sz w:val="24"/>
          <w:szCs w:val="22"/>
        </w:rPr>
        <w:t xml:space="preserve"> o art. 40 da Lei Complementar nº 18, de 1997.</w:t>
      </w:r>
      <w:bookmarkStart w:id="0" w:name="_GoBack"/>
      <w:bookmarkEnd w:id="0"/>
    </w:p>
    <w:p w:rsidR="009C742E" w:rsidRPr="006A416A" w:rsidRDefault="009C742E" w:rsidP="006A41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A416A" w:rsidRPr="006A416A" w:rsidRDefault="006A416A" w:rsidP="006A41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A416A">
        <w:rPr>
          <w:rFonts w:ascii="Calibri" w:hAnsi="Calibri" w:cs="Calibri"/>
          <w:sz w:val="24"/>
          <w:szCs w:val="22"/>
        </w:rPr>
        <w:tab/>
      </w:r>
      <w:r w:rsidRPr="006A416A">
        <w:rPr>
          <w:rFonts w:ascii="Calibri" w:hAnsi="Calibri" w:cs="Calibri"/>
          <w:sz w:val="24"/>
          <w:szCs w:val="22"/>
        </w:rPr>
        <w:tab/>
        <w:t xml:space="preserve">Art. </w:t>
      </w:r>
      <w:r w:rsidR="009C742E">
        <w:rPr>
          <w:rFonts w:ascii="Calibri" w:hAnsi="Calibri" w:cs="Calibri"/>
          <w:sz w:val="24"/>
          <w:szCs w:val="22"/>
        </w:rPr>
        <w:t>3</w:t>
      </w:r>
      <w:proofErr w:type="gramStart"/>
      <w:r w:rsidRPr="006A416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A416A">
        <w:rPr>
          <w:rFonts w:ascii="Calibri" w:hAnsi="Calibri" w:cs="Calibri"/>
          <w:sz w:val="24"/>
          <w:szCs w:val="22"/>
        </w:rPr>
        <w:t>Esta</w:t>
      </w:r>
      <w:proofErr w:type="gramEnd"/>
      <w:r w:rsidRPr="006A416A">
        <w:rPr>
          <w:rFonts w:ascii="Calibri" w:hAnsi="Calibri" w:cs="Calibri"/>
          <w:sz w:val="24"/>
          <w:szCs w:val="22"/>
        </w:rPr>
        <w:t xml:space="preserve"> lei complementar entra em vigor na data de sua publicação. </w:t>
      </w:r>
    </w:p>
    <w:p w:rsidR="006A416A" w:rsidRPr="00646520" w:rsidRDefault="006A416A" w:rsidP="006A41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73DC">
        <w:rPr>
          <w:rFonts w:ascii="Calibri" w:hAnsi="Calibri" w:cs="Calibri"/>
          <w:sz w:val="24"/>
          <w:szCs w:val="24"/>
        </w:rPr>
        <w:t>0</w:t>
      </w:r>
      <w:r w:rsidR="000B1D44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B1D44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A7DE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A7DE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416A"/>
    <w:rsid w:val="006A7A6B"/>
    <w:rsid w:val="006B66E8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742E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A7DEC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153</cp:revision>
  <cp:lastPrinted>2018-06-26T22:41:00Z</cp:lastPrinted>
  <dcterms:created xsi:type="dcterms:W3CDTF">2016-08-16T19:55:00Z</dcterms:created>
  <dcterms:modified xsi:type="dcterms:W3CDTF">2019-02-04T18:32:00Z</dcterms:modified>
</cp:coreProperties>
</file>