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A909A0" w:rsidRPr="00A909A0">
        <w:rPr>
          <w:rFonts w:ascii="Arial" w:hAnsi="Arial" w:cs="Arial"/>
          <w:bCs/>
          <w:sz w:val="24"/>
          <w:szCs w:val="24"/>
        </w:rPr>
        <w:t xml:space="preserve">A Comissão de Justiça, Legislação e Redação, de conformidade com o que deliberou o plenário em sessão ordinária de </w:t>
      </w:r>
      <w:r w:rsidR="00A909A0">
        <w:rPr>
          <w:rFonts w:ascii="Arial" w:hAnsi="Arial" w:cs="Arial"/>
          <w:bCs/>
          <w:sz w:val="24"/>
          <w:szCs w:val="24"/>
        </w:rPr>
        <w:t>05</w:t>
      </w:r>
      <w:r w:rsidR="00A909A0" w:rsidRPr="00A909A0">
        <w:rPr>
          <w:rFonts w:ascii="Arial" w:hAnsi="Arial" w:cs="Arial"/>
          <w:bCs/>
          <w:sz w:val="24"/>
          <w:szCs w:val="24"/>
        </w:rPr>
        <w:t xml:space="preserve"> de </w:t>
      </w:r>
      <w:r w:rsidR="00A909A0">
        <w:rPr>
          <w:rFonts w:ascii="Arial" w:hAnsi="Arial" w:cs="Arial"/>
          <w:bCs/>
          <w:sz w:val="24"/>
          <w:szCs w:val="24"/>
        </w:rPr>
        <w:t>fevere</w:t>
      </w:r>
      <w:r w:rsidR="00A909A0" w:rsidRPr="00A909A0">
        <w:rPr>
          <w:rFonts w:ascii="Arial" w:hAnsi="Arial" w:cs="Arial"/>
          <w:bCs/>
          <w:sz w:val="24"/>
          <w:szCs w:val="24"/>
        </w:rPr>
        <w:t>iro de 201</w:t>
      </w:r>
      <w:r w:rsidR="00A909A0">
        <w:rPr>
          <w:rFonts w:ascii="Arial" w:hAnsi="Arial" w:cs="Arial"/>
          <w:bCs/>
          <w:sz w:val="24"/>
          <w:szCs w:val="24"/>
        </w:rPr>
        <w:t>9</w:t>
      </w:r>
      <w:r w:rsidR="00A909A0" w:rsidRPr="00A909A0">
        <w:rPr>
          <w:rFonts w:ascii="Arial" w:hAnsi="Arial" w:cs="Arial"/>
          <w:bCs/>
          <w:sz w:val="24"/>
          <w:szCs w:val="24"/>
        </w:rPr>
        <w:t>, aprovando o Projeto de Lei nº 03</w:t>
      </w:r>
      <w:r w:rsidR="00A909A0">
        <w:rPr>
          <w:rFonts w:ascii="Arial" w:hAnsi="Arial" w:cs="Arial"/>
          <w:bCs/>
          <w:sz w:val="24"/>
          <w:szCs w:val="24"/>
        </w:rPr>
        <w:t>8</w:t>
      </w:r>
      <w:r w:rsidR="00A909A0" w:rsidRPr="00A909A0">
        <w:rPr>
          <w:rFonts w:ascii="Arial" w:hAnsi="Arial" w:cs="Arial"/>
          <w:bCs/>
          <w:sz w:val="24"/>
          <w:szCs w:val="24"/>
        </w:rPr>
        <w:t>/201</w:t>
      </w:r>
      <w:r w:rsidR="00A909A0">
        <w:rPr>
          <w:rFonts w:ascii="Arial" w:hAnsi="Arial" w:cs="Arial"/>
          <w:bCs/>
          <w:sz w:val="24"/>
          <w:szCs w:val="24"/>
        </w:rPr>
        <w:t>9</w:t>
      </w:r>
      <w:r w:rsidR="00A909A0" w:rsidRPr="00A909A0">
        <w:rPr>
          <w:rFonts w:ascii="Arial" w:hAnsi="Arial" w:cs="Arial"/>
          <w:bCs/>
          <w:sz w:val="24"/>
          <w:szCs w:val="24"/>
        </w:rPr>
        <w:t xml:space="preserve"> e a correspondente emenda, apresenta a inclusa</w:t>
      </w:r>
    </w:p>
    <w:p w:rsidR="00EF7583" w:rsidRPr="00CE462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7"/>
          <w:szCs w:val="17"/>
        </w:rPr>
      </w:pPr>
    </w:p>
    <w:p w:rsidR="00EF7583" w:rsidRPr="00CE4622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7"/>
          <w:szCs w:val="17"/>
        </w:rPr>
      </w:pPr>
    </w:p>
    <w:p w:rsidR="00734355" w:rsidRDefault="00A909A0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</w:t>
      </w:r>
      <w:r w:rsidR="00EF7583"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</w:t>
      </w:r>
      <w:r w:rsidR="00EF7583"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CE4622">
        <w:rPr>
          <w:b/>
          <w:bCs/>
          <w:sz w:val="32"/>
          <w:szCs w:val="32"/>
        </w:rPr>
        <w:t>03</w:t>
      </w:r>
      <w:r w:rsidR="008B13B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CE4622" w:rsidRDefault="00CC2294" w:rsidP="00CC2294">
      <w:pPr>
        <w:jc w:val="both"/>
        <w:rPr>
          <w:rFonts w:ascii="Arial" w:hAnsi="Arial" w:cs="Arial"/>
          <w:sz w:val="17"/>
          <w:szCs w:val="17"/>
        </w:rPr>
      </w:pPr>
    </w:p>
    <w:p w:rsidR="00CC2294" w:rsidRPr="00CE4622" w:rsidRDefault="00CC2294" w:rsidP="00CC2294">
      <w:pPr>
        <w:jc w:val="both"/>
        <w:rPr>
          <w:rFonts w:ascii="Arial" w:hAnsi="Arial" w:cs="Arial"/>
          <w:sz w:val="17"/>
          <w:szCs w:val="17"/>
        </w:rPr>
      </w:pPr>
    </w:p>
    <w:p w:rsidR="00CC2294" w:rsidRPr="00CC2294" w:rsidRDefault="00CE462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E4622">
        <w:rPr>
          <w:rFonts w:ascii="Arial" w:hAnsi="Arial" w:cs="Arial"/>
          <w:sz w:val="22"/>
          <w:szCs w:val="22"/>
        </w:rPr>
        <w:t>Institui o Programa “Araraquara contra a Dengue” e dá outras providências.</w:t>
      </w:r>
    </w:p>
    <w:p w:rsidR="00CC2294" w:rsidRPr="00CE462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C2294" w:rsidRPr="00CE4622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CE4622">
        <w:rPr>
          <w:rFonts w:ascii="Arial" w:hAnsi="Arial" w:cs="Arial"/>
          <w:sz w:val="24"/>
          <w:szCs w:val="24"/>
        </w:rPr>
        <w:t>º  Fica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instituído o Programa “Araraquara contra a Dengue”, que consiste num conjunto de ações estratégicas de planejamento, conscientização e execução contra a dengue, a serem adotadas pelo Município de Araraquara, em decorrência de situação crítica na saúde pública no Município.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CE4622">
        <w:rPr>
          <w:rFonts w:ascii="Arial" w:hAnsi="Arial" w:cs="Arial"/>
          <w:sz w:val="24"/>
          <w:szCs w:val="24"/>
        </w:rPr>
        <w:t>º  Para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os efeitos desta lei entende-se por: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 xml:space="preserve">I – </w:t>
      </w:r>
      <w:proofErr w:type="gramStart"/>
      <w:r w:rsidRPr="00CE4622">
        <w:rPr>
          <w:rFonts w:ascii="Arial" w:hAnsi="Arial" w:cs="Arial"/>
          <w:sz w:val="24"/>
          <w:szCs w:val="24"/>
        </w:rPr>
        <w:t>ações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estratégicas de planejamento: aquelas relativas ao acompanhamento </w:t>
      </w:r>
      <w:proofErr w:type="spellStart"/>
      <w:r w:rsidRPr="00CE4622">
        <w:rPr>
          <w:rFonts w:ascii="Arial" w:hAnsi="Arial" w:cs="Arial"/>
          <w:sz w:val="24"/>
          <w:szCs w:val="24"/>
        </w:rPr>
        <w:t>intersecretarial</w:t>
      </w:r>
      <w:proofErr w:type="spellEnd"/>
      <w:r w:rsidRPr="00CE4622">
        <w:rPr>
          <w:rFonts w:ascii="Arial" w:hAnsi="Arial" w:cs="Arial"/>
          <w:sz w:val="24"/>
          <w:szCs w:val="24"/>
        </w:rPr>
        <w:t xml:space="preserve"> de situações de </w:t>
      </w:r>
      <w:proofErr w:type="spellStart"/>
      <w:r w:rsidRPr="00CE4622">
        <w:rPr>
          <w:rFonts w:ascii="Arial" w:hAnsi="Arial" w:cs="Arial"/>
          <w:sz w:val="24"/>
          <w:szCs w:val="24"/>
        </w:rPr>
        <w:t>pré</w:t>
      </w:r>
      <w:proofErr w:type="spellEnd"/>
      <w:r w:rsidRPr="00CE4622">
        <w:rPr>
          <w:rFonts w:ascii="Arial" w:hAnsi="Arial" w:cs="Arial"/>
          <w:sz w:val="24"/>
          <w:szCs w:val="24"/>
        </w:rPr>
        <w:t>-epidemia e epidemia, por meio da criação de uma sala de situação, e do levantamento de dados voltados à elaboração de um diagnóstico do quadro municipal relativo às ocorrências de dengue na cidade e ao monitoramento das ações realizadas;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 xml:space="preserve">II – </w:t>
      </w:r>
      <w:proofErr w:type="gramStart"/>
      <w:r w:rsidRPr="00CE4622">
        <w:rPr>
          <w:rFonts w:ascii="Arial" w:hAnsi="Arial" w:cs="Arial"/>
          <w:sz w:val="24"/>
          <w:szCs w:val="24"/>
        </w:rPr>
        <w:t>ações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estratégicas de conscientização: aquelas realizadas, prioritariamente, pela Secretaria Municipal de Saúde, Secretaria Municipal da Educação e Secretaria Municipal de Planejamento e Participação Popular, em articulação com as demais secretarias e entes públicos, com o intuito de atuar junto à população na conscientização e prevenção à dengue; e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III – ações estratégicas de execução: aquelas relativas à localização e ao combate aos locais de reprodução e aos focos do mosquito Aedes aegypti e à limpeza de áreas de risco, bem como aquelas relativas à ampliação do atendimento de saúde à população já diagnosticada ou com suspeita de dengue, inclusive por meio de: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a) descentralização do atendimento das unidades de pronto atendimento do Município;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 xml:space="preserve">b) criação de sala de atendimento especial para </w:t>
      </w:r>
      <w:proofErr w:type="gramStart"/>
      <w:r w:rsidRPr="00CE4622">
        <w:rPr>
          <w:rFonts w:ascii="Arial" w:hAnsi="Arial" w:cs="Arial"/>
          <w:sz w:val="24"/>
          <w:szCs w:val="24"/>
        </w:rPr>
        <w:t>os pacientes vítimas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de dengue; e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 xml:space="preserve">c) celebração de contratos e convênios, com a Santa Casa de Misericórdia e entidades congêneres, para o aumento de leitos disponíveis para </w:t>
      </w:r>
      <w:proofErr w:type="gramStart"/>
      <w:r w:rsidRPr="00CE4622">
        <w:rPr>
          <w:rFonts w:ascii="Arial" w:hAnsi="Arial" w:cs="Arial"/>
          <w:sz w:val="24"/>
          <w:szCs w:val="24"/>
        </w:rPr>
        <w:t>os pacientes vítimas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de dengue.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Parágrafo único.  As ações previstas no programa instituído por esta lei deverão observar as ações de assistência, vigilância epidemiológica, controle vetorial, comunicação e mobilização previstas nas Diretrizes Nacionais para a Prevenção e Controle de Epidemias de Dengue do Ministério da Saúde.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lastRenderedPageBreak/>
        <w:tab/>
      </w:r>
      <w:r w:rsidRPr="00CE4622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CE4622">
        <w:rPr>
          <w:rFonts w:ascii="Arial" w:hAnsi="Arial" w:cs="Arial"/>
          <w:sz w:val="24"/>
          <w:szCs w:val="24"/>
        </w:rPr>
        <w:t>º  Fica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o Município autorizado a realizar contratações emergenciais de pessoal para atuação nas ações relativas à identificação e ao combate aos locais de reprodução e concentração do mosquito Aedes aegypti e à limpeza de áreas de risco.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CE4622">
        <w:rPr>
          <w:rFonts w:ascii="Arial" w:hAnsi="Arial" w:cs="Arial"/>
          <w:sz w:val="24"/>
          <w:szCs w:val="24"/>
        </w:rPr>
        <w:t>º  Em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decorrência de situação crítica na saúde pública do Município, o recrutamento do pessoal referido no “caput” deste artigo ocorre</w:t>
      </w:r>
      <w:r w:rsidR="00C4759D">
        <w:rPr>
          <w:rFonts w:ascii="Arial" w:hAnsi="Arial" w:cs="Arial"/>
          <w:sz w:val="24"/>
          <w:szCs w:val="24"/>
        </w:rPr>
        <w:t>rá</w:t>
      </w:r>
      <w:bookmarkStart w:id="0" w:name="_GoBack"/>
      <w:bookmarkEnd w:id="0"/>
      <w:r w:rsidRPr="00CE4622">
        <w:rPr>
          <w:rFonts w:ascii="Arial" w:hAnsi="Arial" w:cs="Arial"/>
          <w:sz w:val="24"/>
          <w:szCs w:val="24"/>
        </w:rPr>
        <w:t xml:space="preserve"> mediante processo seletivo simplificado, para o provimento do seguinte emprego temporário ora criado: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607"/>
        <w:gridCol w:w="1604"/>
        <w:gridCol w:w="1124"/>
        <w:gridCol w:w="897"/>
        <w:gridCol w:w="1724"/>
      </w:tblGrid>
      <w:tr w:rsidR="00CE4622" w:rsidRPr="00CE4622" w:rsidTr="00CE4622">
        <w:trPr>
          <w:trHeight w:val="834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Emprego temporário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Descrição sumária de atividades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Escolaridade mínima exigida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Carga horária semanal máxima</w:t>
            </w:r>
          </w:p>
        </w:tc>
        <w:tc>
          <w:tcPr>
            <w:tcW w:w="382" w:type="pct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Remuneração (hora trabalhada)</w:t>
            </w:r>
          </w:p>
        </w:tc>
      </w:tr>
      <w:tr w:rsidR="00CE4622" w:rsidRPr="00CE4622" w:rsidTr="00CE4622">
        <w:trPr>
          <w:trHeight w:val="2976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Apoiador no combate à dengue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Atuar na remoção de objetos encontrados e na limpeza emergencial de vias públicas e demais bens de uso comum do povo, terrenos baldios, terrenos particulares sujeitos à autuação pela fiscalização municipal, de acordo com as orientações coordenação das equipes. Apoiar as ações das equipes multiprofissionais e os mutirões do Município no âmbito do Programa “Araraquara contra a Dengue”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Ensino fundamental incompleto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30 horas</w:t>
            </w:r>
          </w:p>
        </w:tc>
        <w:tc>
          <w:tcPr>
            <w:tcW w:w="382" w:type="pct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R$ 4,54/h</w:t>
            </w:r>
          </w:p>
        </w:tc>
      </w:tr>
    </w:tbl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§ 2º  Para a concretização das contratações autorizadas por esta lei, o recrutamento de recursos humanos levará em consideração a situação socioeconômica e a participação em programas sociais do município, por parte dos recrutados, bem como levará em consideração a existência, nos cadastros municipais da Secretaria Municipal de Assistência Social, de adultos egressos do sistema prisional e de medida socioeducativa, de mulheres vítimas de violência doméstica e de acolhidos por entidades executoras de programas voltados para população em situação de rua.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CE4622">
        <w:rPr>
          <w:rFonts w:ascii="Arial" w:hAnsi="Arial" w:cs="Arial"/>
          <w:sz w:val="24"/>
          <w:szCs w:val="24"/>
        </w:rPr>
        <w:t>º  As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contratações referidas neste artigo dar-se-ão de acordo com a necessidade da Administração, até o limite de 500 (quinhentas) admissões, observando-se a evolução da situação emergencial constatada pela sala de situação criada neste programa.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§ 4</w:t>
      </w:r>
      <w:proofErr w:type="gramStart"/>
      <w:r w:rsidRPr="00CE4622">
        <w:rPr>
          <w:rFonts w:ascii="Arial" w:hAnsi="Arial" w:cs="Arial"/>
          <w:sz w:val="24"/>
          <w:szCs w:val="24"/>
        </w:rPr>
        <w:t>º  As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contratações referidas neste artigo dar-se-ão pelo prazo de 6 (seis) meses, renováveis por até 6 (seis) meses, havendo constatação da manutenção das situações de fato e de direito que ensejaram a contratação emergencial, observando-se a manifestação fundamentada do comitê gestor da sala de situação da dengue instituída por esta lei.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§ 5</w:t>
      </w:r>
      <w:proofErr w:type="gramStart"/>
      <w:r w:rsidRPr="00CE4622">
        <w:rPr>
          <w:rFonts w:ascii="Arial" w:hAnsi="Arial" w:cs="Arial"/>
          <w:sz w:val="24"/>
          <w:szCs w:val="24"/>
        </w:rPr>
        <w:t>º  As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contratações referidas neste artigo seguirão os ditames estabelecidos na Lei nº 5.614, de 11 de maio de 2001, exceto quanto ao prazo de contratação, que seguirá a regra estabelecida no § 4º deste artigo.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CE4622">
        <w:rPr>
          <w:rFonts w:ascii="Arial" w:hAnsi="Arial" w:cs="Arial"/>
          <w:sz w:val="24"/>
          <w:szCs w:val="24"/>
        </w:rPr>
        <w:t>º  A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Lei nº 6.926, de 06 de fevereiro de 2009, passa a vigorar com as seguintes alterações: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>“Art. 3º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CE4622">
        <w:rPr>
          <w:rFonts w:ascii="Arial" w:hAnsi="Arial" w:cs="Arial"/>
          <w:sz w:val="24"/>
          <w:szCs w:val="24"/>
        </w:rPr>
        <w:t>na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aplicação das multas serão atendidos os critérios e classificação constantes da seguinte tabela: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440"/>
      </w:tblGrid>
      <w:tr w:rsidR="00CE4622" w:rsidRPr="00CE4622" w:rsidTr="00C157A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Residências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Estabelecimentos e indústrias</w:t>
            </w:r>
          </w:p>
        </w:tc>
      </w:tr>
      <w:tr w:rsidR="00CE4622" w:rsidRPr="00CE4622" w:rsidTr="00C157A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622">
              <w:rPr>
                <w:rFonts w:ascii="Arial" w:hAnsi="Arial" w:cs="Arial"/>
                <w:sz w:val="24"/>
                <w:szCs w:val="24"/>
              </w:rPr>
              <w:t>UFMs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622">
              <w:rPr>
                <w:rFonts w:ascii="Arial" w:hAnsi="Arial" w:cs="Arial"/>
                <w:sz w:val="24"/>
                <w:szCs w:val="24"/>
              </w:rPr>
              <w:t>UFMs</w:t>
            </w:r>
            <w:proofErr w:type="spellEnd"/>
          </w:p>
        </w:tc>
      </w:tr>
      <w:tr w:rsidR="00CE4622" w:rsidRPr="00CE4622" w:rsidTr="00C157A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Leve: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E4622">
              <w:rPr>
                <w:rFonts w:ascii="Arial" w:hAnsi="Arial" w:cs="Arial"/>
                <w:sz w:val="24"/>
                <w:szCs w:val="24"/>
              </w:rPr>
              <w:t>presença</w:t>
            </w:r>
            <w:proofErr w:type="gramEnd"/>
            <w:r w:rsidRPr="00CE4622">
              <w:rPr>
                <w:rFonts w:ascii="Arial" w:hAnsi="Arial" w:cs="Arial"/>
                <w:sz w:val="24"/>
                <w:szCs w:val="24"/>
              </w:rPr>
              <w:t xml:space="preserve"> de criadouros de pequeno porte em número de um a três.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6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20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50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100 para os casos de reincidência neste segmento de classificação.</w:t>
            </w:r>
          </w:p>
        </w:tc>
      </w:tr>
      <w:tr w:rsidR="00CE4622" w:rsidRPr="00CE4622" w:rsidTr="00C157A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Moderada: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E4622">
              <w:rPr>
                <w:rFonts w:ascii="Arial" w:hAnsi="Arial" w:cs="Arial"/>
                <w:sz w:val="24"/>
                <w:szCs w:val="24"/>
              </w:rPr>
              <w:t>presença</w:t>
            </w:r>
            <w:proofErr w:type="gramEnd"/>
            <w:r w:rsidRPr="00CE4622">
              <w:rPr>
                <w:rFonts w:ascii="Arial" w:hAnsi="Arial" w:cs="Arial"/>
                <w:sz w:val="24"/>
                <w:szCs w:val="24"/>
              </w:rPr>
              <w:t xml:space="preserve"> de mais de três criadouros de pequeno porte; ou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E4622">
              <w:rPr>
                <w:rFonts w:ascii="Arial" w:hAnsi="Arial" w:cs="Arial"/>
                <w:sz w:val="24"/>
                <w:szCs w:val="24"/>
              </w:rPr>
              <w:t>presença</w:t>
            </w:r>
            <w:proofErr w:type="gramEnd"/>
            <w:r w:rsidRPr="00CE4622">
              <w:rPr>
                <w:rFonts w:ascii="Arial" w:hAnsi="Arial" w:cs="Arial"/>
                <w:sz w:val="24"/>
                <w:szCs w:val="24"/>
              </w:rPr>
              <w:t xml:space="preserve"> de um ou mais criadouros de médio porte.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20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40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100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200 para os casos de reincidência neste segmento de classificação.</w:t>
            </w:r>
          </w:p>
        </w:tc>
      </w:tr>
      <w:tr w:rsidR="00CE4622" w:rsidRPr="00CE4622" w:rsidTr="00C157A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Grave: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E4622">
              <w:rPr>
                <w:rFonts w:ascii="Arial" w:hAnsi="Arial" w:cs="Arial"/>
                <w:sz w:val="24"/>
                <w:szCs w:val="24"/>
              </w:rPr>
              <w:t>presença</w:t>
            </w:r>
            <w:proofErr w:type="gramEnd"/>
            <w:r w:rsidRPr="00CE4622">
              <w:rPr>
                <w:rFonts w:ascii="Arial" w:hAnsi="Arial" w:cs="Arial"/>
                <w:sz w:val="24"/>
                <w:szCs w:val="24"/>
              </w:rPr>
              <w:t xml:space="preserve"> de um a cinco criadouros de grande porte; ou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E4622">
              <w:rPr>
                <w:rFonts w:ascii="Arial" w:hAnsi="Arial" w:cs="Arial"/>
                <w:sz w:val="24"/>
                <w:szCs w:val="24"/>
              </w:rPr>
              <w:t>reincidência</w:t>
            </w:r>
            <w:proofErr w:type="gramEnd"/>
            <w:r w:rsidRPr="00CE4622">
              <w:rPr>
                <w:rFonts w:ascii="Arial" w:hAnsi="Arial" w:cs="Arial"/>
                <w:sz w:val="24"/>
                <w:szCs w:val="24"/>
              </w:rPr>
              <w:t xml:space="preserve"> das infrações anteriores.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30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60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150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300 para os casos de reincidência neste segmento de classificação.</w:t>
            </w:r>
          </w:p>
        </w:tc>
      </w:tr>
      <w:tr w:rsidR="00CE4622" w:rsidRPr="00CE4622" w:rsidTr="00C157A5">
        <w:trPr>
          <w:jc w:val="right"/>
        </w:trPr>
        <w:tc>
          <w:tcPr>
            <w:tcW w:w="407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Gravíssima: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E4622">
              <w:rPr>
                <w:rFonts w:ascii="Arial" w:hAnsi="Arial" w:cs="Arial"/>
                <w:sz w:val="24"/>
                <w:szCs w:val="24"/>
              </w:rPr>
              <w:t>presença</w:t>
            </w:r>
            <w:proofErr w:type="gramEnd"/>
            <w:r w:rsidRPr="00CE4622">
              <w:rPr>
                <w:rFonts w:ascii="Arial" w:hAnsi="Arial" w:cs="Arial"/>
                <w:sz w:val="24"/>
                <w:szCs w:val="24"/>
              </w:rPr>
              <w:t xml:space="preserve"> de mais de cinco criadouros de grande porte;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E4622">
              <w:rPr>
                <w:rFonts w:ascii="Arial" w:hAnsi="Arial" w:cs="Arial"/>
                <w:sz w:val="24"/>
                <w:szCs w:val="24"/>
              </w:rPr>
              <w:t>reincidência</w:t>
            </w:r>
            <w:proofErr w:type="gramEnd"/>
            <w:r w:rsidRPr="00CE4622">
              <w:rPr>
                <w:rFonts w:ascii="Arial" w:hAnsi="Arial" w:cs="Arial"/>
                <w:sz w:val="24"/>
                <w:szCs w:val="24"/>
              </w:rPr>
              <w:t xml:space="preserve"> das infrações anteriores; ou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lastRenderedPageBreak/>
              <w:t>- Impedimento ao acesso de servidor público a serviço da Vigilância Epidemiológica para as ações de combate à dengue.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lastRenderedPageBreak/>
              <w:t>40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80 para os casos de reincidência neste segmento de classificação.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200 para a primeira autuação; e</w:t>
            </w:r>
          </w:p>
          <w:p w:rsidR="00CE4622" w:rsidRPr="00CE4622" w:rsidRDefault="00CE4622" w:rsidP="00CE462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622">
              <w:rPr>
                <w:rFonts w:ascii="Arial" w:hAnsi="Arial" w:cs="Arial"/>
                <w:sz w:val="24"/>
                <w:szCs w:val="24"/>
              </w:rPr>
              <w:t>400 para os casos de reincidência neste segmento de classificação.</w:t>
            </w:r>
          </w:p>
        </w:tc>
      </w:tr>
    </w:tbl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>Parágrafo único.  Para os efeitos do inciso IV do art. 3º desta lei entende-se por: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CE4622">
        <w:rPr>
          <w:rFonts w:ascii="Arial" w:hAnsi="Arial" w:cs="Arial"/>
          <w:sz w:val="24"/>
          <w:szCs w:val="24"/>
        </w:rPr>
        <w:t>criadouro</w:t>
      </w:r>
      <w:proofErr w:type="gramEnd"/>
      <w:r w:rsidRPr="00CE4622">
        <w:rPr>
          <w:rFonts w:ascii="Arial" w:hAnsi="Arial" w:cs="Arial"/>
          <w:sz w:val="24"/>
          <w:szCs w:val="24"/>
        </w:rPr>
        <w:t>: recipiente contendo água, ovo, larva ou pupa do mosquito do gênero Aedes;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CE4622">
        <w:rPr>
          <w:rFonts w:ascii="Arial" w:hAnsi="Arial" w:cs="Arial"/>
          <w:sz w:val="24"/>
          <w:szCs w:val="24"/>
        </w:rPr>
        <w:t>criadouro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de pequeno porte: lata, garrafa, balde, bacia, vaso de planta e prato de vaso de planta, materiais inservíveis com capacidade total até 20 litros;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>III – criadouro de médio porte: pneus (exceto pneus de caminhões e carretas), calhas, lajes, tanques e outros recipientes com capacidade máxima de 50 litros; e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 xml:space="preserve">IV – criadouro de grande porte: pneus de caminhões e carretas, piscinas, tonéis, caixas d´água, ligadas ou não a rede, com capacidade de 50 </w:t>
      </w:r>
      <w:proofErr w:type="gramStart"/>
      <w:r w:rsidRPr="00CE4622">
        <w:rPr>
          <w:rFonts w:ascii="Arial" w:hAnsi="Arial" w:cs="Arial"/>
          <w:sz w:val="24"/>
          <w:szCs w:val="24"/>
        </w:rPr>
        <w:t>litros.”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(NR)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CE4622">
        <w:rPr>
          <w:rFonts w:ascii="Arial" w:hAnsi="Arial" w:cs="Arial"/>
          <w:sz w:val="24"/>
          <w:szCs w:val="24"/>
        </w:rPr>
        <w:t>º  Fica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criada uma gratificação especial de desempenho, de apuração trimestral, para os agentes de combate às endemias e para os agentes comunitários de saúde que atingirem as metas nas ações de verificação de densidade larvária (ADL), até o limite de R$ 110,60 (cento e dez reais e sessenta centavos), nos termos de regulamentação a ser editada no prazo de 15 (quinze) dias a contar da entrada em vigor desta lei.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Parágrafo único.  O valor da gratificação, estipulado no “caput” deste artigo, será atualizado no mês de janeiro de cada ano, tomando-se por base o índice de inflação apurado nos últimos doze meses.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CE4622">
        <w:rPr>
          <w:rFonts w:ascii="Arial" w:hAnsi="Arial" w:cs="Arial"/>
          <w:sz w:val="24"/>
          <w:szCs w:val="24"/>
        </w:rPr>
        <w:t>º  As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despesas decorrentes da execução desta lei correrão à conta de dotações orçamentárias próprias, suplementadas se necessário.</w:t>
      </w: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CE4622" w:rsidRPr="00CE4622" w:rsidRDefault="00CE4622" w:rsidP="00CE4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4622">
        <w:rPr>
          <w:rFonts w:ascii="Arial" w:hAnsi="Arial" w:cs="Arial"/>
          <w:sz w:val="24"/>
          <w:szCs w:val="24"/>
        </w:rPr>
        <w:tab/>
      </w:r>
      <w:r w:rsidRPr="00CE4622">
        <w:rPr>
          <w:rFonts w:ascii="Arial" w:hAnsi="Arial" w:cs="Arial"/>
          <w:sz w:val="24"/>
          <w:szCs w:val="24"/>
        </w:rPr>
        <w:tab/>
        <w:t>Art. 7</w:t>
      </w:r>
      <w:proofErr w:type="gramStart"/>
      <w:r w:rsidRPr="00CE4622">
        <w:rPr>
          <w:rFonts w:ascii="Arial" w:hAnsi="Arial" w:cs="Arial"/>
          <w:sz w:val="24"/>
          <w:szCs w:val="24"/>
        </w:rPr>
        <w:t>º  Esta</w:t>
      </w:r>
      <w:proofErr w:type="gramEnd"/>
      <w:r w:rsidRPr="00CE4622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E462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8B13B9" w:rsidRPr="00CE462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CE4622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Pr="00CE4622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CE4622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Pr="00CE4622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9D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909A0"/>
    <w:rsid w:val="00AB6A5E"/>
    <w:rsid w:val="00AE69B6"/>
    <w:rsid w:val="00BC755B"/>
    <w:rsid w:val="00C110DC"/>
    <w:rsid w:val="00C169CA"/>
    <w:rsid w:val="00C4759D"/>
    <w:rsid w:val="00C622BE"/>
    <w:rsid w:val="00C80339"/>
    <w:rsid w:val="00CC2294"/>
    <w:rsid w:val="00CE4622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2019-02-06T01:05:00Z</dcterms:modified>
</cp:coreProperties>
</file>