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3256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32569">
        <w:rPr>
          <w:rFonts w:ascii="Tahoma" w:hAnsi="Tahoma" w:cs="Tahoma"/>
          <w:b/>
          <w:sz w:val="32"/>
          <w:szCs w:val="32"/>
          <w:u w:val="single"/>
        </w:rPr>
        <w:t>006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07BCF">
        <w:rPr>
          <w:rFonts w:ascii="Tahoma" w:hAnsi="Tahoma" w:cs="Tahoma"/>
          <w:b/>
          <w:sz w:val="32"/>
          <w:szCs w:val="32"/>
          <w:u w:val="single"/>
        </w:rPr>
        <w:t>216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A07BCF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BD36EE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5A56CA" w:rsidRPr="00BD36EE" w:rsidRDefault="005A56CA" w:rsidP="00D47EAB">
      <w:pPr>
        <w:jc w:val="both"/>
        <w:rPr>
          <w:rFonts w:ascii="Calibri" w:hAnsi="Calibri" w:cs="Calibri"/>
          <w:sz w:val="19"/>
          <w:szCs w:val="19"/>
        </w:rPr>
      </w:pPr>
    </w:p>
    <w:p w:rsidR="003A3A7C" w:rsidRPr="003A3A7C" w:rsidRDefault="00A07BC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07BCF">
        <w:rPr>
          <w:rFonts w:ascii="Calibri" w:hAnsi="Calibri" w:cs="Calibri"/>
          <w:sz w:val="22"/>
          <w:szCs w:val="22"/>
        </w:rPr>
        <w:t>Institui a Escola de Governo do Município de Araraquara e dá outras providências.</w:t>
      </w:r>
    </w:p>
    <w:p w:rsidR="003A3A7C" w:rsidRPr="00BD36EE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C6D7E" w:rsidRPr="00BD36E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>Fica criada a Escola de Governo do Município de Araraquara, vinculada à Secretaria de Justiça e Cidadania.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>A Escola de Governo do Município de Araraquara é órgão auxiliar e permanente que tem por objetivo promover a formação, o aperfeiçoamento e a capacitação de servidores públicos, agentes políticos, membros de poder, membros de conselhos temáticos e usuários dos serviços prestados pelo Município, mediante a execução ou o incentivo à promoção de programa de treinamento e qualificação profissional, voltados à modernização e ao fortalecimento da gestão pública.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CAPÍTULO I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DAS ATRIBUIÇÕES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 xml:space="preserve">A Escola de Governo do Município de Araraquara tem por atribuição elaborar e implementar a política bienal de qualificação do funcionalismo público municipal, dos agentes políticos do governo, de membros de poder e de agentes dos conselhos temáticos e usuários de serviços públicos.  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Art. 3º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 xml:space="preserve"> As prioridades da política bienal de qualificação do funcionalismo levarão em consideração as necessidades de formação, capacitação e treinamento dos servidores, considerando-se tanto as exigências de melhoria do serviço público como as oportunidades de ascensão na carreira dos servidores.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 xml:space="preserve">As prioridades bienais serão discutidas com os setores demandantes (secretarias, coordenadorias e outras instâncias) e também no âmbito das instâncias colegiadas do governo, com participação de representantes do funcionalismo. 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>Para a consecução de sua finalidade, a Escola de Governo deverá, além de implementar atividades próprias de qualificação: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I - buscar parcerias, cooperação e convênios com instituições educacionais públicas e privadas, entidades da sociedade civil e demais esferas da Administração Pública, visando proporcionais meios educacionais para a implantação da sua política bienal de qualificação;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II - fazer uso de ofertas gratuitas e contratadas de cursos e treinamentos no formato EaD (Ensino à Distância), ampliando assim o leque de ofertas de qualificação acessíveis aos servidores; 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III - atuar em rede com instituições similares, na busca de melhorias de sua política de qualificação;</w:t>
      </w:r>
      <w:r w:rsidR="007E7599">
        <w:rPr>
          <w:rFonts w:ascii="Calibri" w:hAnsi="Calibri" w:cs="Calibri"/>
          <w:sz w:val="24"/>
          <w:szCs w:val="22"/>
        </w:rPr>
        <w:t xml:space="preserve"> e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IV - receber adesão voluntária, no interior do quadro de funcionários da prefeitura, para que atuem como multiplicadores de conhecimentos, técnicas e habilidades cuja disseminação interesse à qualificação do funcionalismo.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CAPÍTULO II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DA ESTRUTURA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Art. 5º 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>A Escola de Governo do Município de Araraquara terá a seguinte estrutura organizacional: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1. </w:t>
      </w:r>
      <w:r w:rsidR="007E7599">
        <w:rPr>
          <w:rFonts w:ascii="Calibri" w:hAnsi="Calibri" w:cs="Calibri"/>
          <w:sz w:val="24"/>
          <w:szCs w:val="22"/>
        </w:rPr>
        <w:t>Diretoria Acadêmico-Científica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2. Coordenadoria</w:t>
      </w:r>
      <w:r w:rsidR="007E7599">
        <w:rPr>
          <w:rFonts w:ascii="Calibri" w:hAnsi="Calibri" w:cs="Calibri"/>
          <w:sz w:val="24"/>
          <w:szCs w:val="22"/>
        </w:rPr>
        <w:t xml:space="preserve"> Executiva da Escola de Governo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2.1. Corpo administrativo.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 xml:space="preserve">O titular da Diretoria Acadêmico-Científica, detentor de saber acadêmico-científico compatível com o desempenho das atividades da Escola de Governo, será profissional </w:t>
      </w:r>
      <w:r w:rsidR="007E7599">
        <w:rPr>
          <w:rFonts w:ascii="Calibri" w:hAnsi="Calibri" w:cs="Calibri"/>
          <w:sz w:val="24"/>
          <w:szCs w:val="22"/>
        </w:rPr>
        <w:t xml:space="preserve">do </w:t>
      </w:r>
      <w:r w:rsidR="00A07BCF" w:rsidRPr="00A07BCF">
        <w:rPr>
          <w:rFonts w:ascii="Calibri" w:hAnsi="Calibri" w:cs="Calibri"/>
          <w:sz w:val="24"/>
          <w:szCs w:val="22"/>
        </w:rPr>
        <w:t xml:space="preserve">meio acadêmico, indicado pelo Prefeito Municipal e não receberá qualquer tipo de pagamento, remuneração, vantagem ou benefício para o exercício da função, sendo seus esforços, porém, considerados relevantes servidos prestados ao Município. 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CAPÍTULO III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DA ATUAÇÃO INTEGRADA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Art. 6º 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>Para a consecução de seus objetivos, a Escola de Governo do Município de Araraquara atuará de forma integrada com os demais órgãos integrantes da Administração Municipal Direta e Indireta e, em especial, com a Secretaria Municipal de Planejamento e Participação Popular e com a Coordenadoria Executiva de Recursos Humanos da Secretaria Municipal de Gestão e Finanças.</w:t>
      </w:r>
    </w:p>
    <w:p w:rsidR="00A07BCF" w:rsidRPr="00BD36EE" w:rsidRDefault="00A07BCF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CAPÍTULO IV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DO CENSO DO FUNCIONALISMO PÚBLICO MUNICIPAL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Art. 7º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 xml:space="preserve"> No prazo de 180 (cento e oitenta) dias</w:t>
      </w:r>
      <w:r w:rsidR="007E7599">
        <w:rPr>
          <w:rFonts w:ascii="Calibri" w:hAnsi="Calibri" w:cs="Calibri"/>
          <w:sz w:val="24"/>
          <w:szCs w:val="22"/>
        </w:rPr>
        <w:t>,</w:t>
      </w:r>
      <w:r w:rsidR="00A07BCF" w:rsidRPr="00A07BCF">
        <w:rPr>
          <w:rFonts w:ascii="Calibri" w:hAnsi="Calibri" w:cs="Calibri"/>
          <w:sz w:val="24"/>
          <w:szCs w:val="22"/>
        </w:rPr>
        <w:t xml:space="preserve"> a co</w:t>
      </w:r>
      <w:r w:rsidR="007E7599">
        <w:rPr>
          <w:rFonts w:ascii="Calibri" w:hAnsi="Calibri" w:cs="Calibri"/>
          <w:sz w:val="24"/>
          <w:szCs w:val="22"/>
        </w:rPr>
        <w:t>ntar da entrada em vigor desta l</w:t>
      </w:r>
      <w:r w:rsidR="00A07BCF" w:rsidRPr="00A07BCF">
        <w:rPr>
          <w:rFonts w:ascii="Calibri" w:hAnsi="Calibri" w:cs="Calibri"/>
          <w:sz w:val="24"/>
          <w:szCs w:val="22"/>
        </w:rPr>
        <w:t xml:space="preserve">ei, a Coordenadoria Executiva de Recursos Humanos, em articulação com os órgãos de recursos humanos dos órgãos integrantes da administração municipal e com a Escola de Governo, realizará um censo do funcionalismo público municipal, com a finalidade de coletar informações para o diagnóstico do perfil dos funcionários, a ser utilizado como subsídio para: 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I – o constante aperfeiçoamento do plano de carreira, cargos e vencimentos;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II – a concepção e a execução de programas para a valorização do funcionalismo e melhoria da qualidade de vida dos servidores;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III – a política municipal de qualificação dos servidores, a ser implementada pela Escola de Governo do Município de Araraquara; </w:t>
      </w:r>
      <w:r w:rsidR="007E7599">
        <w:rPr>
          <w:rFonts w:ascii="Calibri" w:hAnsi="Calibri" w:cs="Calibri"/>
          <w:sz w:val="24"/>
          <w:szCs w:val="22"/>
        </w:rPr>
        <w:t>e</w:t>
      </w: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IV – a avaliação das necessidades de ampliação e reestruturação do quadro de servidores, para o aperfeiçoamento da gestão e dos serviços públicos.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 xml:space="preserve">Após sua primeira realização, o censo do funcionalismo público municipal deverá ocorrer </w:t>
      </w:r>
      <w:r w:rsidR="000A0641">
        <w:rPr>
          <w:rFonts w:ascii="Calibri" w:hAnsi="Calibri" w:cs="Calibri"/>
          <w:sz w:val="24"/>
          <w:szCs w:val="22"/>
        </w:rPr>
        <w:t>a cada 02 (dois) anos</w:t>
      </w:r>
      <w:r w:rsidR="00A07BCF" w:rsidRPr="00A07BCF">
        <w:rPr>
          <w:rFonts w:ascii="Calibri" w:hAnsi="Calibri" w:cs="Calibri"/>
          <w:sz w:val="24"/>
          <w:szCs w:val="22"/>
        </w:rPr>
        <w:t>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Art. 8º 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>É obrigatória a participação de todo servidor público no censo ins</w:t>
      </w:r>
      <w:r w:rsidR="007E7599">
        <w:rPr>
          <w:rFonts w:ascii="Calibri" w:hAnsi="Calibri" w:cs="Calibri"/>
          <w:sz w:val="24"/>
          <w:szCs w:val="22"/>
        </w:rPr>
        <w:t>tituído pelo Capítulo IV desta l</w:t>
      </w:r>
      <w:r w:rsidR="00A07BCF" w:rsidRPr="00A07BCF">
        <w:rPr>
          <w:rFonts w:ascii="Calibri" w:hAnsi="Calibri" w:cs="Calibri"/>
          <w:sz w:val="24"/>
          <w:szCs w:val="22"/>
        </w:rPr>
        <w:t>ei, na forma prevista em edital especialmente divulgado para este fim.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Parágrafo único.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 xml:space="preserve"> A falta de participação injustificada constitui infraç</w:t>
      </w:r>
      <w:r w:rsidR="007E7599">
        <w:rPr>
          <w:rFonts w:ascii="Calibri" w:hAnsi="Calibri" w:cs="Calibri"/>
          <w:sz w:val="24"/>
          <w:szCs w:val="22"/>
        </w:rPr>
        <w:t>ão administrativa, na forma da l</w:t>
      </w:r>
      <w:r w:rsidR="00A07BCF" w:rsidRPr="00A07BCF">
        <w:rPr>
          <w:rFonts w:ascii="Calibri" w:hAnsi="Calibri" w:cs="Calibri"/>
          <w:sz w:val="24"/>
          <w:szCs w:val="22"/>
        </w:rPr>
        <w:t>ei.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CAPÍTULO V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DISPOSIÇÕES FINAIS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Art. 9º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 xml:space="preserve"> </w:t>
      </w:r>
      <w:r w:rsidR="00BD36EE">
        <w:rPr>
          <w:rFonts w:ascii="Calibri" w:hAnsi="Calibri" w:cs="Calibri"/>
          <w:sz w:val="24"/>
          <w:szCs w:val="22"/>
        </w:rPr>
        <w:t>A</w:t>
      </w:r>
      <w:r w:rsidR="00A07BCF" w:rsidRPr="00A07BCF">
        <w:rPr>
          <w:rFonts w:ascii="Calibri" w:hAnsi="Calibri" w:cs="Calibri"/>
          <w:sz w:val="24"/>
          <w:szCs w:val="22"/>
        </w:rPr>
        <w:t xml:space="preserve"> Lei nº 6.667, de 13 de dezembro de 2007, passa a vigorar </w:t>
      </w:r>
      <w:r w:rsidR="00BD36EE">
        <w:rPr>
          <w:rFonts w:ascii="Calibri" w:hAnsi="Calibri" w:cs="Calibri"/>
          <w:sz w:val="24"/>
          <w:szCs w:val="22"/>
        </w:rPr>
        <w:t>com a seguinte alteração</w:t>
      </w:r>
      <w:r w:rsidR="00A07BCF" w:rsidRPr="00A07BCF">
        <w:rPr>
          <w:rFonts w:ascii="Calibri" w:hAnsi="Calibri" w:cs="Calibri"/>
          <w:sz w:val="24"/>
          <w:szCs w:val="22"/>
        </w:rPr>
        <w:t>: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“Art. 3º</w:t>
      </w:r>
      <w:r w:rsidR="007E7599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...</w:t>
      </w:r>
      <w:r w:rsidR="007E7599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 xml:space="preserve">XIX – </w:t>
      </w:r>
      <w:r w:rsidR="007E7599">
        <w:rPr>
          <w:rFonts w:ascii="Calibri" w:hAnsi="Calibri" w:cs="Calibri"/>
          <w:sz w:val="24"/>
          <w:szCs w:val="22"/>
        </w:rPr>
        <w:t>r</w:t>
      </w:r>
      <w:r w:rsidRPr="00A07BCF">
        <w:rPr>
          <w:rFonts w:ascii="Calibri" w:hAnsi="Calibri" w:cs="Calibri"/>
          <w:sz w:val="24"/>
          <w:szCs w:val="22"/>
        </w:rPr>
        <w:t>ecusar-se a participar do censo do funcionalismo público municipal.”</w:t>
      </w:r>
      <w:r w:rsidR="007E7599">
        <w:rPr>
          <w:rFonts w:ascii="Calibri" w:hAnsi="Calibri" w:cs="Calibri"/>
          <w:sz w:val="24"/>
          <w:szCs w:val="22"/>
        </w:rPr>
        <w:t xml:space="preserve"> (NR)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Art. 10</w:t>
      </w:r>
      <w:r>
        <w:rPr>
          <w:rFonts w:ascii="Calibri" w:hAnsi="Calibri" w:cs="Calibri"/>
          <w:sz w:val="24"/>
          <w:szCs w:val="22"/>
        </w:rPr>
        <w:t xml:space="preserve">. </w:t>
      </w:r>
      <w:r w:rsidR="00A07BCF" w:rsidRPr="00A07BCF">
        <w:rPr>
          <w:rFonts w:ascii="Calibri" w:hAnsi="Calibri" w:cs="Calibri"/>
          <w:sz w:val="24"/>
          <w:szCs w:val="22"/>
        </w:rPr>
        <w:t xml:space="preserve"> </w:t>
      </w:r>
      <w:r w:rsidR="00BD36EE">
        <w:rPr>
          <w:rFonts w:ascii="Calibri" w:hAnsi="Calibri" w:cs="Calibri"/>
          <w:sz w:val="24"/>
          <w:szCs w:val="22"/>
        </w:rPr>
        <w:t>A</w:t>
      </w:r>
      <w:r w:rsidR="00A07BCF" w:rsidRPr="00A07BCF">
        <w:rPr>
          <w:rFonts w:ascii="Calibri" w:hAnsi="Calibri" w:cs="Calibri"/>
          <w:sz w:val="24"/>
          <w:szCs w:val="22"/>
        </w:rPr>
        <w:t xml:space="preserve"> Lei nº 6.791, de 28 de maio de 2008, passa a vigorar </w:t>
      </w:r>
      <w:r w:rsidR="00BD36EE">
        <w:rPr>
          <w:rFonts w:ascii="Calibri" w:hAnsi="Calibri" w:cs="Calibri"/>
          <w:sz w:val="24"/>
          <w:szCs w:val="22"/>
        </w:rPr>
        <w:t>com a seguinte alteração</w:t>
      </w:r>
      <w:r w:rsidR="00A07BCF" w:rsidRPr="00A07BCF">
        <w:rPr>
          <w:rFonts w:ascii="Calibri" w:hAnsi="Calibri" w:cs="Calibri"/>
          <w:sz w:val="24"/>
          <w:szCs w:val="22"/>
        </w:rPr>
        <w:t>: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“Art. 3º</w:t>
      </w:r>
      <w:r w:rsidR="007E7599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...</w:t>
      </w:r>
      <w:r w:rsidR="007E7599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</w:t>
      </w:r>
    </w:p>
    <w:p w:rsidR="00A07BCF" w:rsidRPr="00A07BCF" w:rsidRDefault="007E7599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XIX – r</w:t>
      </w:r>
      <w:r w:rsidR="00A07BCF" w:rsidRPr="00A07BCF">
        <w:rPr>
          <w:rFonts w:ascii="Calibri" w:hAnsi="Calibri" w:cs="Calibri"/>
          <w:sz w:val="24"/>
          <w:szCs w:val="22"/>
        </w:rPr>
        <w:t>ecusar-se a participar do censo do funcionalismo público municipal.”</w:t>
      </w:r>
      <w:r>
        <w:rPr>
          <w:rFonts w:ascii="Calibri" w:hAnsi="Calibri" w:cs="Calibri"/>
          <w:sz w:val="24"/>
          <w:szCs w:val="22"/>
        </w:rPr>
        <w:t xml:space="preserve"> (NR)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Art. 11.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 xml:space="preserve"> </w:t>
      </w:r>
      <w:r w:rsidR="00BD36EE">
        <w:rPr>
          <w:rFonts w:ascii="Calibri" w:hAnsi="Calibri" w:cs="Calibri"/>
          <w:sz w:val="24"/>
          <w:szCs w:val="22"/>
        </w:rPr>
        <w:t>A</w:t>
      </w:r>
      <w:r w:rsidR="00A07BCF" w:rsidRPr="00A07BCF">
        <w:rPr>
          <w:rFonts w:ascii="Calibri" w:hAnsi="Calibri" w:cs="Calibri"/>
          <w:sz w:val="24"/>
          <w:szCs w:val="22"/>
        </w:rPr>
        <w:t xml:space="preserve"> Lei nº 8.867, de 06 de janeiro de 2017, passa a vigorar com a seguinte </w:t>
      </w:r>
      <w:r w:rsidR="00BD36EE">
        <w:rPr>
          <w:rFonts w:ascii="Calibri" w:hAnsi="Calibri" w:cs="Calibri"/>
          <w:sz w:val="24"/>
          <w:szCs w:val="22"/>
        </w:rPr>
        <w:t>alter</w:t>
      </w:r>
      <w:r w:rsidR="00A07BCF" w:rsidRPr="00A07BCF">
        <w:rPr>
          <w:rFonts w:ascii="Calibri" w:hAnsi="Calibri" w:cs="Calibri"/>
          <w:sz w:val="24"/>
          <w:szCs w:val="22"/>
        </w:rPr>
        <w:t>ação: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“Art. 48-B. A Secretaria Municipal de Justiça e Cidadania apresenta a seguinte estrutura hierárquica e organizacional: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I - Gabinete do Secretário: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1. Coordenadoria Executiva de Justiça e Cidadania;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1.1. Departamento de Defesa do Consumidor "Professor Doutor Octávio Médici" - Procon Araraquara;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1.1.1. Gabinete do Dirigente;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1.1.1.1. Divisão de Atendimento ao Consumidor;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1.1.1.2. Divisão de Fiscalização;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1.1.1.3. Divisão de Relações Institucionais e de Estudos, Pesquisas e Educação ao Consumidor e Fornecedor;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1.2.  Fundo Municipal de Defesa do Consumidor - FMDC;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1.3. Gerência de Assuntos Legislativos;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1.4. Gerência de Atos Oficiais;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 xml:space="preserve">2. Coordenadoria Executiva da Escola de Governo do Município de Araraquara; 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3. Comissão de Ética Pública do Poder Executivo Municipal (CEP);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4. Ouvidoria Geral do Município (OGM);</w:t>
      </w:r>
    </w:p>
    <w:p w:rsidR="00A07BCF" w:rsidRPr="00A07BCF" w:rsidRDefault="00A07BCF" w:rsidP="00384B0A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A07BCF">
        <w:rPr>
          <w:rFonts w:ascii="Calibri" w:hAnsi="Calibri" w:cs="Calibri"/>
          <w:sz w:val="24"/>
          <w:szCs w:val="22"/>
        </w:rPr>
        <w:t>5. Comitê Municipal de Governança Pública (CMGP)." (NR)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A07BCF" w:rsidRPr="00A07BCF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>Art. 12.</w:t>
      </w:r>
      <w:r>
        <w:rPr>
          <w:rFonts w:ascii="Calibri" w:hAnsi="Calibri" w:cs="Calibri"/>
          <w:sz w:val="24"/>
          <w:szCs w:val="22"/>
        </w:rPr>
        <w:t xml:space="preserve"> </w:t>
      </w:r>
      <w:r w:rsidR="00A07BCF" w:rsidRPr="00A07BCF">
        <w:rPr>
          <w:rFonts w:ascii="Calibri" w:hAnsi="Calibri" w:cs="Calibri"/>
          <w:sz w:val="24"/>
          <w:szCs w:val="22"/>
        </w:rPr>
        <w:t xml:space="preserve"> As despesas</w:t>
      </w:r>
      <w:r w:rsidR="00B5417C">
        <w:rPr>
          <w:rFonts w:ascii="Calibri" w:hAnsi="Calibri" w:cs="Calibri"/>
          <w:sz w:val="24"/>
          <w:szCs w:val="22"/>
        </w:rPr>
        <w:t xml:space="preserve"> decorrentes da execução desta l</w:t>
      </w:r>
      <w:r w:rsidR="00A07BCF" w:rsidRPr="00A07BCF">
        <w:rPr>
          <w:rFonts w:ascii="Calibri" w:hAnsi="Calibri" w:cs="Calibri"/>
          <w:sz w:val="24"/>
          <w:szCs w:val="22"/>
        </w:rPr>
        <w:t>ei correrão à conta de recurso</w:t>
      </w:r>
      <w:r w:rsidR="00B5417C">
        <w:rPr>
          <w:rFonts w:ascii="Calibri" w:hAnsi="Calibri" w:cs="Calibri"/>
          <w:sz w:val="24"/>
          <w:szCs w:val="22"/>
        </w:rPr>
        <w:t>s orçamentários consignados na l</w:t>
      </w:r>
      <w:r w:rsidR="00A07BCF" w:rsidRPr="00A07BCF">
        <w:rPr>
          <w:rFonts w:ascii="Calibri" w:hAnsi="Calibri" w:cs="Calibri"/>
          <w:sz w:val="24"/>
          <w:szCs w:val="22"/>
        </w:rPr>
        <w:t xml:space="preserve">ei </w:t>
      </w:r>
      <w:r w:rsidR="00B5417C">
        <w:rPr>
          <w:rFonts w:ascii="Calibri" w:hAnsi="Calibri" w:cs="Calibri"/>
          <w:sz w:val="24"/>
          <w:szCs w:val="22"/>
        </w:rPr>
        <w:t>o</w:t>
      </w:r>
      <w:r w:rsidR="00A07BCF" w:rsidRPr="00A07BCF">
        <w:rPr>
          <w:rFonts w:ascii="Calibri" w:hAnsi="Calibri" w:cs="Calibri"/>
          <w:sz w:val="24"/>
          <w:szCs w:val="22"/>
        </w:rPr>
        <w:t xml:space="preserve">rçamentária </w:t>
      </w:r>
      <w:r w:rsidR="00B5417C">
        <w:rPr>
          <w:rFonts w:ascii="Calibri" w:hAnsi="Calibri" w:cs="Calibri"/>
          <w:sz w:val="24"/>
          <w:szCs w:val="22"/>
        </w:rPr>
        <w:t>v</w:t>
      </w:r>
      <w:r w:rsidR="00A07BCF" w:rsidRPr="00A07BCF">
        <w:rPr>
          <w:rFonts w:ascii="Calibri" w:hAnsi="Calibri" w:cs="Calibri"/>
          <w:sz w:val="24"/>
          <w:szCs w:val="22"/>
        </w:rPr>
        <w:t>igente, suplementados se necessário.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6D45F8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07BCF" w:rsidRPr="00A07BCF">
        <w:rPr>
          <w:rFonts w:ascii="Calibri" w:hAnsi="Calibri" w:cs="Calibri"/>
          <w:sz w:val="24"/>
          <w:szCs w:val="22"/>
        </w:rPr>
        <w:t xml:space="preserve">Art. 13. </w:t>
      </w:r>
      <w:r>
        <w:rPr>
          <w:rFonts w:ascii="Calibri" w:hAnsi="Calibri" w:cs="Calibri"/>
          <w:sz w:val="24"/>
          <w:szCs w:val="22"/>
        </w:rPr>
        <w:t xml:space="preserve"> </w:t>
      </w:r>
      <w:r w:rsidR="00B5417C">
        <w:rPr>
          <w:rFonts w:ascii="Calibri" w:hAnsi="Calibri" w:cs="Calibri"/>
          <w:sz w:val="24"/>
          <w:szCs w:val="22"/>
        </w:rPr>
        <w:t>Esta l</w:t>
      </w:r>
      <w:r w:rsidR="00A07BCF" w:rsidRPr="00A07BCF">
        <w:rPr>
          <w:rFonts w:ascii="Calibri" w:hAnsi="Calibri" w:cs="Calibri"/>
          <w:sz w:val="24"/>
          <w:szCs w:val="22"/>
        </w:rPr>
        <w:t>ei entra em vigor na data de sua publicação.</w:t>
      </w:r>
    </w:p>
    <w:p w:rsidR="00384B0A" w:rsidRPr="00BD36EE" w:rsidRDefault="00384B0A" w:rsidP="00A07B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9"/>
          <w:szCs w:val="19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417C">
        <w:rPr>
          <w:rFonts w:ascii="Calibri" w:hAnsi="Calibri" w:cs="Calibri"/>
          <w:sz w:val="24"/>
          <w:szCs w:val="24"/>
        </w:rPr>
        <w:t>30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5417C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D36EE" w:rsidRDefault="005A56CA" w:rsidP="00D47EAB">
      <w:pPr>
        <w:rPr>
          <w:rFonts w:ascii="Calibri" w:hAnsi="Calibri" w:cs="Calibri"/>
          <w:sz w:val="19"/>
          <w:szCs w:val="19"/>
        </w:rPr>
      </w:pPr>
    </w:p>
    <w:p w:rsidR="001C6D7E" w:rsidRPr="00BD36EE" w:rsidRDefault="001C6D7E" w:rsidP="00D47EAB">
      <w:pPr>
        <w:rPr>
          <w:rFonts w:ascii="Calibri" w:hAnsi="Calibri" w:cs="Calibri"/>
          <w:sz w:val="19"/>
          <w:szCs w:val="19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32569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3256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3256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0641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1B5C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32569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0A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7599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07BCF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5417C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36E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1149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2019-01-29T17:01:00Z</dcterms:modified>
</cp:coreProperties>
</file>