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>
        <w:tblInd w:w="675" w:type="dxa"/>
      </w:tblPr>
      <w:tblGrid>
        <w:gridCol w:w="2552"/>
        <w:gridCol w:w="4111"/>
        <w:gridCol w:w="1797"/>
      </w:tblGrid>
      <w:tr>
        <w:trPr>
          <w:trHeight w:val="1" w:hRule="atLeast"/>
          <w:jc w:val="left"/>
        </w:trPr>
        <w:tc>
          <w:tcPr>
            <w:tcW w:w="2552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PARECER Nº</w:t>
            </w:r>
          </w:p>
        </w:tc>
        <w:tc>
          <w:tcPr>
            <w:tcW w:w="41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$NUMERO$</w:t>
            </w:r>
          </w:p>
        </w:tc>
        <w:tc>
          <w:tcPr>
            <w:tcW w:w="179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00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32"/>
                <w:shd w:fill="auto" w:val="clear"/>
              </w:rPr>
              <w:t xml:space="preserve">/2026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$DOCUMENTOTRAMITEDOCUMENTO$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Processo nº $DOCUMENTOTRAMITEPROCESSO$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Iniciativa: $DOCUMENTOTRAMITEAUTORIA$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Assunto: $DOCUMENTOTRAMITEASSUNTO$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Cabe à Câmara, com a sanção do Prefeito, legislar sobre a permissão e concessão de uso de bens imóveis bem como sua afetação e desafetação (artigo 21, inciso VIII, da Lei Orgânica do Município).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As proposições que versem sobre cessão, doação ou alienação de imóveis públicos municipais não podem ser pautadas para discussão e votação do Plenário nos 6 (seis) dias subsequentes à data do protocolo. (§ 1º do Art. 312A do Regimento Interno, incluído pela Resolução n° 492, de 2021)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Sua elaboração atendeu às normas regimentais vigentes.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À Comissão de Tributação, Finanças e Orçamento para manifestação.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Pela legalidade.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Quanto ao mérito, o plenário decidirá.</w:t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709" w:leader="none"/>
          <w:tab w:val="left" w:pos="1418" w:leader="none"/>
          <w:tab w:val="left" w:pos="2127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ab/>
        <w:tab/>
        <w:t xml:space="preserve">É o parecer.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708" w:firstLine="708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Sala de reuniões das comissões, $DATAEXTENSO$.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_____________________________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Dr. Lelo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Presidente da Comissão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____________________________              ____________________________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               Geani Trevisóli </w:t>
        <w:tab/>
        <w:t xml:space="preserve">                                             Maria Paula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