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A302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A3029">
        <w:rPr>
          <w:rFonts w:ascii="Tahoma" w:hAnsi="Tahoma" w:cs="Tahoma"/>
          <w:b/>
          <w:sz w:val="32"/>
          <w:szCs w:val="32"/>
          <w:u w:val="single"/>
        </w:rPr>
        <w:t>279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C3388">
        <w:rPr>
          <w:rFonts w:ascii="Tahoma" w:hAnsi="Tahoma" w:cs="Tahoma"/>
          <w:b/>
          <w:sz w:val="32"/>
          <w:szCs w:val="32"/>
          <w:u w:val="single"/>
        </w:rPr>
        <w:t>299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C3388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C3388">
        <w:rPr>
          <w:rFonts w:ascii="Calibri" w:hAnsi="Calibri" w:cs="Calibri"/>
          <w:sz w:val="22"/>
          <w:szCs w:val="22"/>
        </w:rPr>
        <w:t xml:space="preserve">Denomina “Avenida São Caetano” a via pública da sede do Município conhecida como Avenida “A” do Loteamento Industrial/Comercial São Caetano, objeto da </w:t>
      </w:r>
      <w:r>
        <w:rPr>
          <w:rFonts w:ascii="Calibri" w:hAnsi="Calibri" w:cs="Calibri"/>
          <w:sz w:val="22"/>
          <w:szCs w:val="22"/>
        </w:rPr>
        <w:t>m</w:t>
      </w:r>
      <w:r w:rsidRPr="002C3388">
        <w:rPr>
          <w:rFonts w:ascii="Calibri" w:hAnsi="Calibri" w:cs="Calibri"/>
          <w:sz w:val="22"/>
          <w:szCs w:val="22"/>
        </w:rPr>
        <w:t>atrícula nº 116.265 do 1º Cartório de Registro de Imóveis de Araraquara.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C3388" w:rsidRDefault="002C3388" w:rsidP="002C338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3388">
        <w:rPr>
          <w:rFonts w:ascii="Calibri" w:hAnsi="Calibri" w:cs="Calibri"/>
          <w:sz w:val="24"/>
          <w:szCs w:val="22"/>
        </w:rPr>
        <w:t xml:space="preserve">Art. 1º Fica denominada “Avenida São Caetano” a via pública da sede do Município conhecida como Avenida “A” do Loteamento Industrial/Comercial São Caetano, objeto da </w:t>
      </w:r>
      <w:r>
        <w:rPr>
          <w:rFonts w:ascii="Calibri" w:hAnsi="Calibri" w:cs="Calibri"/>
          <w:sz w:val="24"/>
          <w:szCs w:val="22"/>
        </w:rPr>
        <w:t>m</w:t>
      </w:r>
      <w:r w:rsidRPr="002C3388">
        <w:rPr>
          <w:rFonts w:ascii="Calibri" w:hAnsi="Calibri" w:cs="Calibri"/>
          <w:sz w:val="24"/>
          <w:szCs w:val="22"/>
        </w:rPr>
        <w:t>atrícula nº 116.265 do 1º Cartório de Registro de Imóveis de Araraquara.</w:t>
      </w:r>
    </w:p>
    <w:p w:rsidR="002C3388" w:rsidRPr="002C3388" w:rsidRDefault="002C3388" w:rsidP="002C338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2C3388" w:rsidP="002C338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3388">
        <w:rPr>
          <w:rFonts w:ascii="Calibri" w:hAnsi="Calibri" w:cs="Calibri"/>
          <w:sz w:val="24"/>
          <w:szCs w:val="22"/>
        </w:rPr>
        <w:t xml:space="preserve">Art. 2º Esta </w:t>
      </w:r>
      <w:r>
        <w:rPr>
          <w:rFonts w:ascii="Calibri" w:hAnsi="Calibri" w:cs="Calibri"/>
          <w:sz w:val="24"/>
          <w:szCs w:val="22"/>
        </w:rPr>
        <w:t>l</w:t>
      </w:r>
      <w:r w:rsidRPr="002C3388">
        <w:rPr>
          <w:rFonts w:ascii="Calibri" w:hAnsi="Calibri" w:cs="Calibri"/>
          <w:sz w:val="24"/>
          <w:szCs w:val="22"/>
        </w:rPr>
        <w:t>ei entra em vigor na data de sua publicação.</w:t>
      </w:r>
    </w:p>
    <w:p w:rsidR="002C3388" w:rsidRPr="00646520" w:rsidRDefault="002C3388" w:rsidP="002C338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F3D37">
        <w:rPr>
          <w:rFonts w:ascii="Calibri" w:hAnsi="Calibri" w:cs="Calibri"/>
          <w:sz w:val="24"/>
          <w:szCs w:val="24"/>
        </w:rPr>
        <w:t>27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F3D37">
        <w:rPr>
          <w:rFonts w:ascii="Calibri" w:hAnsi="Calibri" w:cs="Calibri"/>
          <w:sz w:val="24"/>
          <w:szCs w:val="24"/>
        </w:rPr>
        <w:t>vinte e sete)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87D2D">
        <w:rPr>
          <w:rFonts w:ascii="Calibri" w:hAnsi="Calibri" w:cs="Calibri"/>
          <w:sz w:val="24"/>
          <w:szCs w:val="24"/>
        </w:rPr>
        <w:t>novem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A302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A302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C3388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3029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145</cp:revision>
  <cp:lastPrinted>2018-06-26T22:41:00Z</cp:lastPrinted>
  <dcterms:created xsi:type="dcterms:W3CDTF">2016-08-16T19:55:00Z</dcterms:created>
  <dcterms:modified xsi:type="dcterms:W3CDTF">2018-11-27T16:24:00Z</dcterms:modified>
</cp:coreProperties>
</file>