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D247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D2475">
        <w:rPr>
          <w:rFonts w:ascii="Tahoma" w:hAnsi="Tahoma" w:cs="Tahoma"/>
          <w:b/>
          <w:sz w:val="32"/>
          <w:szCs w:val="32"/>
          <w:u w:val="single"/>
        </w:rPr>
        <w:t>268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E485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E4857">
        <w:rPr>
          <w:rFonts w:ascii="Tahoma" w:hAnsi="Tahoma" w:cs="Tahoma"/>
          <w:b/>
          <w:sz w:val="32"/>
          <w:szCs w:val="32"/>
          <w:u w:val="single"/>
        </w:rPr>
        <w:t>016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4E4857" w:rsidRPr="004E4857" w:rsidRDefault="004E485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67CE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67CE2">
        <w:rPr>
          <w:rFonts w:ascii="Calibri" w:hAnsi="Calibri" w:cs="Calibri"/>
          <w:sz w:val="22"/>
          <w:szCs w:val="22"/>
        </w:rPr>
        <w:t xml:space="preserve">Introduz, na Lei Complementar nº 827, de 10 de julho de 2012 (Política Municipal de Proteção aos Animais), medidas relativas ao confinamento de </w:t>
      </w:r>
      <w:r w:rsidR="00517155">
        <w:rPr>
          <w:rFonts w:ascii="Calibri" w:hAnsi="Calibri" w:cs="Calibri"/>
          <w:sz w:val="22"/>
          <w:szCs w:val="22"/>
        </w:rPr>
        <w:t>animais</w:t>
      </w:r>
      <w:r w:rsidRPr="00767CE2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7CE2">
        <w:rPr>
          <w:rFonts w:ascii="Calibri" w:hAnsi="Calibri" w:cs="Calibri"/>
          <w:sz w:val="24"/>
          <w:szCs w:val="22"/>
        </w:rPr>
        <w:t xml:space="preserve">Art. 1º Ao artigo 16, da Lei Complementar nº 827, de </w:t>
      </w:r>
      <w:r w:rsidR="00517155">
        <w:rPr>
          <w:rFonts w:ascii="Calibri" w:hAnsi="Calibri" w:cs="Calibri"/>
          <w:sz w:val="24"/>
          <w:szCs w:val="22"/>
        </w:rPr>
        <w:t>10 de julho de 2012</w:t>
      </w:r>
      <w:r w:rsidRPr="00767CE2">
        <w:rPr>
          <w:rFonts w:ascii="Calibri" w:hAnsi="Calibri" w:cs="Calibri"/>
          <w:sz w:val="24"/>
          <w:szCs w:val="22"/>
        </w:rPr>
        <w:t>,</w:t>
      </w:r>
      <w:r>
        <w:rPr>
          <w:rFonts w:ascii="Calibri" w:hAnsi="Calibri" w:cs="Calibri"/>
          <w:sz w:val="24"/>
          <w:szCs w:val="22"/>
        </w:rPr>
        <w:t xml:space="preserve"> fica acrescentado o inciso IX: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7CE2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“Art.16. ...</w:t>
      </w:r>
    </w:p>
    <w:p w:rsidR="00767CE2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</w:t>
      </w:r>
    </w:p>
    <w:p w:rsidR="00767CE2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IX - c</w:t>
      </w:r>
      <w:r w:rsidR="00767CE2" w:rsidRPr="00767CE2">
        <w:rPr>
          <w:rFonts w:ascii="Calibri" w:hAnsi="Calibri" w:cs="Calibri"/>
          <w:sz w:val="24"/>
          <w:szCs w:val="22"/>
        </w:rPr>
        <w:t>onfinamento, acorrentamento</w:t>
      </w:r>
      <w:r>
        <w:rPr>
          <w:rFonts w:ascii="Calibri" w:hAnsi="Calibri" w:cs="Calibri"/>
          <w:sz w:val="24"/>
          <w:szCs w:val="22"/>
        </w:rPr>
        <w:t xml:space="preserve"> ou alojamento inadequado.” (NR)</w:t>
      </w: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7CE2">
        <w:rPr>
          <w:rFonts w:ascii="Calibri" w:hAnsi="Calibri" w:cs="Calibri"/>
          <w:sz w:val="24"/>
          <w:szCs w:val="22"/>
        </w:rPr>
        <w:t>Art. 2º Fica acrescentado o art. 16-A, à Lei Complementar nº</w:t>
      </w:r>
      <w:r w:rsidR="00E65A52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 xml:space="preserve">827, de 10 de </w:t>
      </w:r>
      <w:r w:rsidR="00517155">
        <w:rPr>
          <w:rFonts w:ascii="Calibri" w:hAnsi="Calibri" w:cs="Calibri"/>
          <w:sz w:val="24"/>
          <w:szCs w:val="22"/>
        </w:rPr>
        <w:t>j</w:t>
      </w:r>
      <w:r w:rsidRPr="00767CE2">
        <w:rPr>
          <w:rFonts w:ascii="Calibri" w:hAnsi="Calibri" w:cs="Calibri"/>
          <w:sz w:val="24"/>
          <w:szCs w:val="22"/>
        </w:rPr>
        <w:t>ulho de 2012, com a seguinte redação: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“Art. 16-A Para efeitos do inciso IX</w:t>
      </w:r>
      <w:r w:rsidR="00517155">
        <w:rPr>
          <w:rFonts w:ascii="Calibri" w:hAnsi="Calibri" w:cs="Calibri"/>
          <w:sz w:val="24"/>
          <w:szCs w:val="22"/>
        </w:rPr>
        <w:t xml:space="preserve"> do artigo 16 desta l</w:t>
      </w:r>
      <w:r w:rsidRPr="00767CE2">
        <w:rPr>
          <w:rFonts w:ascii="Calibri" w:hAnsi="Calibri" w:cs="Calibri"/>
          <w:sz w:val="24"/>
          <w:szCs w:val="22"/>
        </w:rPr>
        <w:t>ei</w:t>
      </w:r>
      <w:r w:rsidR="00517155">
        <w:rPr>
          <w:rFonts w:ascii="Calibri" w:hAnsi="Calibri" w:cs="Calibri"/>
          <w:sz w:val="24"/>
          <w:szCs w:val="22"/>
        </w:rPr>
        <w:t xml:space="preserve"> complementar</w:t>
      </w:r>
      <w:r w:rsidRPr="00767CE2">
        <w:rPr>
          <w:rFonts w:ascii="Calibri" w:hAnsi="Calibri" w:cs="Calibri"/>
          <w:sz w:val="24"/>
          <w:szCs w:val="22"/>
        </w:rPr>
        <w:t xml:space="preserve">, entende-se como ‘confinamento, acorrentamento </w:t>
      </w:r>
      <w:r w:rsidR="00517155">
        <w:rPr>
          <w:rFonts w:ascii="Calibri" w:hAnsi="Calibri" w:cs="Calibri"/>
          <w:sz w:val="24"/>
          <w:szCs w:val="22"/>
        </w:rPr>
        <w:t>o</w:t>
      </w:r>
      <w:r w:rsidRPr="00767CE2">
        <w:rPr>
          <w:rFonts w:ascii="Calibri" w:hAnsi="Calibri" w:cs="Calibri"/>
          <w:sz w:val="24"/>
          <w:szCs w:val="22"/>
        </w:rPr>
        <w:t>u alojamento inadequado’ qualquer meio de restrição à liberdade de locomoção dos animais domésticos.</w:t>
      </w:r>
    </w:p>
    <w:p w:rsidR="00517155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§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>1º A restrição à liberdade de locomoção ocorrerá por qualquer meio de aprisionamento – permanente ou rotineiro – do animal a um objeto estacionário por períodos contínuos.</w:t>
      </w:r>
    </w:p>
    <w:p w:rsidR="00517155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§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>2º Nos casos de impossibilidade temporária por falta de outro meio de contenção, o animal será preso a uma corrente do tipo “vai-vem” com</w:t>
      </w:r>
      <w:r w:rsidR="00517155">
        <w:rPr>
          <w:rFonts w:ascii="Calibri" w:hAnsi="Calibri" w:cs="Calibri"/>
          <w:sz w:val="24"/>
          <w:szCs w:val="22"/>
        </w:rPr>
        <w:t>,</w:t>
      </w:r>
      <w:r w:rsidRPr="00767CE2">
        <w:rPr>
          <w:rFonts w:ascii="Calibri" w:hAnsi="Calibri" w:cs="Calibri"/>
          <w:sz w:val="24"/>
          <w:szCs w:val="22"/>
        </w:rPr>
        <w:t xml:space="preserve"> no mínimo</w:t>
      </w:r>
      <w:r w:rsidR="00517155">
        <w:rPr>
          <w:rFonts w:ascii="Calibri" w:hAnsi="Calibri" w:cs="Calibri"/>
          <w:sz w:val="24"/>
          <w:szCs w:val="22"/>
        </w:rPr>
        <w:t>,</w:t>
      </w:r>
      <w:r w:rsidRPr="00767CE2">
        <w:rPr>
          <w:rFonts w:ascii="Calibri" w:hAnsi="Calibri" w:cs="Calibri"/>
          <w:sz w:val="24"/>
          <w:szCs w:val="22"/>
        </w:rPr>
        <w:t xml:space="preserve"> </w:t>
      </w:r>
      <w:r w:rsidR="00517155">
        <w:rPr>
          <w:rFonts w:ascii="Calibri" w:hAnsi="Calibri" w:cs="Calibri"/>
          <w:sz w:val="24"/>
          <w:szCs w:val="22"/>
        </w:rPr>
        <w:t>08 (</w:t>
      </w:r>
      <w:r w:rsidRPr="00767CE2">
        <w:rPr>
          <w:rFonts w:ascii="Calibri" w:hAnsi="Calibri" w:cs="Calibri"/>
          <w:sz w:val="24"/>
          <w:szCs w:val="22"/>
        </w:rPr>
        <w:t>oito</w:t>
      </w:r>
      <w:r w:rsidR="00517155">
        <w:rPr>
          <w:rFonts w:ascii="Calibri" w:hAnsi="Calibri" w:cs="Calibri"/>
          <w:sz w:val="24"/>
          <w:szCs w:val="22"/>
        </w:rPr>
        <w:t>)</w:t>
      </w:r>
      <w:r w:rsidRPr="00767CE2">
        <w:rPr>
          <w:rFonts w:ascii="Calibri" w:hAnsi="Calibri" w:cs="Calibri"/>
          <w:sz w:val="24"/>
          <w:szCs w:val="22"/>
        </w:rPr>
        <w:t xml:space="preserve"> metros de comprimento.</w:t>
      </w:r>
    </w:p>
    <w:p w:rsidR="00517155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§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>3º A liberdade de locomoção do animal deverá ser oferecida de modo a não causar quaisquer ferimentos, dores ou angústias, observando-se: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 xml:space="preserve">I – a corrente utilizada não poderá pesar mais de 10% </w:t>
      </w:r>
      <w:r w:rsidR="00517155">
        <w:rPr>
          <w:rFonts w:ascii="Calibri" w:hAnsi="Calibri" w:cs="Calibri"/>
          <w:sz w:val="24"/>
          <w:szCs w:val="22"/>
        </w:rPr>
        <w:t xml:space="preserve">(dez por cento) </w:t>
      </w:r>
      <w:r w:rsidRPr="00767CE2">
        <w:rPr>
          <w:rFonts w:ascii="Calibri" w:hAnsi="Calibri" w:cs="Calibri"/>
          <w:sz w:val="24"/>
          <w:szCs w:val="22"/>
        </w:rPr>
        <w:t>do peso do animal;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II – ficará vedado o uso de cadeado para fechamento da coleira;</w:t>
      </w:r>
    </w:p>
    <w:p w:rsidR="00517155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§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>4º É proibido o confinamento de animais em alojamentos ou locais que não respeitem as condições adequadas ao bem-estar do animal, observando-se: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lastRenderedPageBreak/>
        <w:t>I – dimensões apropriadas à espécie, necessidade e tamanho do animal;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II – espaço suficiente para ampla movimentação;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III – incidência de sol, luz, sombra e ventilação: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V – fornecimento de alimento e água limpa, além de contínuo atendimento de suas necessidades, incluindo atendimento veterinário;</w:t>
      </w: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VI – asseio e conservação de higiene do</w:t>
      </w:r>
      <w:r w:rsidR="00517155">
        <w:rPr>
          <w:rFonts w:ascii="Calibri" w:hAnsi="Calibri" w:cs="Calibri"/>
          <w:sz w:val="24"/>
          <w:szCs w:val="22"/>
        </w:rPr>
        <w:t xml:space="preserve"> alojamento e do próprio animal.</w:t>
      </w:r>
    </w:p>
    <w:p w:rsidR="00517155" w:rsidRPr="00767CE2" w:rsidRDefault="00517155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>§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 xml:space="preserve">5º Os animais encontrados nas condições anteriormente previstas de confinamento, acorrentamento ou alojamento inadequado devem ser resgatados e encaminhados para adoção. </w:t>
      </w:r>
    </w:p>
    <w:p w:rsidR="00767CE2" w:rsidRP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67CE2">
        <w:rPr>
          <w:rFonts w:ascii="Calibri" w:hAnsi="Calibri" w:cs="Calibri"/>
          <w:sz w:val="24"/>
          <w:szCs w:val="22"/>
        </w:rPr>
        <w:t xml:space="preserve">§ 6º O descumprimento ao disposto neste artigo constitui infração gravíssima, nos termos do </w:t>
      </w:r>
      <w:r w:rsidR="00517155">
        <w:rPr>
          <w:rFonts w:ascii="Calibri" w:hAnsi="Calibri" w:cs="Calibri"/>
          <w:sz w:val="24"/>
          <w:szCs w:val="22"/>
        </w:rPr>
        <w:t xml:space="preserve">inciso II do </w:t>
      </w:r>
      <w:r w:rsidRPr="00767CE2">
        <w:rPr>
          <w:rFonts w:ascii="Calibri" w:hAnsi="Calibri" w:cs="Calibri"/>
          <w:sz w:val="24"/>
          <w:szCs w:val="22"/>
        </w:rPr>
        <w:t>art</w:t>
      </w:r>
      <w:r w:rsidR="00517155">
        <w:rPr>
          <w:rFonts w:ascii="Calibri" w:hAnsi="Calibri" w:cs="Calibri"/>
          <w:sz w:val="24"/>
          <w:szCs w:val="22"/>
        </w:rPr>
        <w:t>igo</w:t>
      </w:r>
      <w:r w:rsidRPr="00767CE2">
        <w:rPr>
          <w:rFonts w:ascii="Calibri" w:hAnsi="Calibri" w:cs="Calibri"/>
          <w:sz w:val="24"/>
          <w:szCs w:val="22"/>
        </w:rPr>
        <w:t xml:space="preserve"> 25</w:t>
      </w:r>
      <w:r w:rsidR="00517155">
        <w:rPr>
          <w:rFonts w:ascii="Calibri" w:hAnsi="Calibri" w:cs="Calibri"/>
          <w:sz w:val="24"/>
          <w:szCs w:val="22"/>
        </w:rPr>
        <w:t xml:space="preserve"> </w:t>
      </w:r>
      <w:r w:rsidRPr="00767CE2">
        <w:rPr>
          <w:rFonts w:ascii="Calibri" w:hAnsi="Calibri" w:cs="Calibri"/>
          <w:sz w:val="24"/>
          <w:szCs w:val="22"/>
        </w:rPr>
        <w:t xml:space="preserve">desta </w:t>
      </w:r>
      <w:r w:rsidR="00517155">
        <w:rPr>
          <w:rFonts w:ascii="Calibri" w:hAnsi="Calibri" w:cs="Calibri"/>
          <w:sz w:val="24"/>
          <w:szCs w:val="22"/>
        </w:rPr>
        <w:t>l</w:t>
      </w:r>
      <w:r w:rsidRPr="00767CE2">
        <w:rPr>
          <w:rFonts w:ascii="Calibri" w:hAnsi="Calibri" w:cs="Calibri"/>
          <w:sz w:val="24"/>
          <w:szCs w:val="22"/>
        </w:rPr>
        <w:t xml:space="preserve">ei </w:t>
      </w:r>
      <w:r w:rsidR="00517155">
        <w:rPr>
          <w:rFonts w:ascii="Calibri" w:hAnsi="Calibri" w:cs="Calibri"/>
          <w:sz w:val="24"/>
          <w:szCs w:val="22"/>
        </w:rPr>
        <w:t>c</w:t>
      </w:r>
      <w:r w:rsidRPr="00767CE2">
        <w:rPr>
          <w:rFonts w:ascii="Calibri" w:hAnsi="Calibri" w:cs="Calibri"/>
          <w:sz w:val="24"/>
          <w:szCs w:val="22"/>
        </w:rPr>
        <w:t>omplementar, acrescida de</w:t>
      </w:r>
      <w:r w:rsidR="00517155">
        <w:rPr>
          <w:rFonts w:ascii="Calibri" w:hAnsi="Calibri" w:cs="Calibri"/>
          <w:sz w:val="24"/>
          <w:szCs w:val="22"/>
        </w:rPr>
        <w:t xml:space="preserve"> 100% a cada reincidência.” (NR)</w:t>
      </w:r>
    </w:p>
    <w:p w:rsidR="00767CE2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7CE2">
        <w:rPr>
          <w:rFonts w:ascii="Calibri" w:hAnsi="Calibri" w:cs="Calibri"/>
          <w:sz w:val="24"/>
          <w:szCs w:val="22"/>
        </w:rPr>
        <w:t xml:space="preserve">Art. 3º Esta </w:t>
      </w:r>
      <w:r w:rsidR="00517155">
        <w:rPr>
          <w:rFonts w:ascii="Calibri" w:hAnsi="Calibri" w:cs="Calibri"/>
          <w:sz w:val="24"/>
          <w:szCs w:val="22"/>
        </w:rPr>
        <w:t>lei c</w:t>
      </w:r>
      <w:r w:rsidRPr="00767CE2">
        <w:rPr>
          <w:rFonts w:ascii="Calibri" w:hAnsi="Calibri" w:cs="Calibri"/>
          <w:sz w:val="24"/>
          <w:szCs w:val="22"/>
        </w:rPr>
        <w:t>omplementar entra em vigor na data de sua publicação, produzindo efeitos a partir de 90 (noventa) dias.</w:t>
      </w:r>
    </w:p>
    <w:p w:rsidR="00767CE2" w:rsidRPr="00646520" w:rsidRDefault="00767CE2" w:rsidP="00767C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4B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4B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D247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247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247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475"/>
    <w:rsid w:val="003D68F8"/>
    <w:rsid w:val="003E38F6"/>
    <w:rsid w:val="003F1D99"/>
    <w:rsid w:val="003F57BD"/>
    <w:rsid w:val="003F5FF0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E4857"/>
    <w:rsid w:val="004F1598"/>
    <w:rsid w:val="005042FE"/>
    <w:rsid w:val="00515FD1"/>
    <w:rsid w:val="00516A7D"/>
    <w:rsid w:val="00517155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67CE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5A52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2018-11-13T13:57:00Z</dcterms:modified>
</cp:coreProperties>
</file>