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CD01FA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EB5D5C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B9645A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C5A5B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B9645A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EB5D5C">
        <w:rPr>
          <w:rFonts w:asciiTheme="majorHAnsi" w:eastAsiaTheme="minorEastAsia" w:hAnsiTheme="majorHAnsi" w:cs="Arial"/>
          <w:szCs w:val="24"/>
          <w:lang w:eastAsia="pt-BR"/>
        </w:rPr>
        <w:t>inquenta</w:t>
      </w:r>
      <w:r w:rsidR="00B9645A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1627"/>
        <w:gridCol w:w="4607"/>
      </w:tblGrid>
      <w:tr w:rsidR="00632E8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0E3724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FE785B" w:rsidRDefault="00FE785B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FE785B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632E87" w:rsidRPr="00FE785B" w:rsidRDefault="00FE785B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FE785B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004</w:t>
            </w:r>
          </w:p>
        </w:tc>
        <w:tc>
          <w:tcPr>
            <w:tcW w:w="4955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FINANCEIRA</w:t>
            </w:r>
          </w:p>
        </w:tc>
      </w:tr>
      <w:tr w:rsidR="00632E87" w:rsidTr="00C55E79">
        <w:tc>
          <w:tcPr>
            <w:tcW w:w="2405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123</w:t>
            </w:r>
          </w:p>
        </w:tc>
        <w:tc>
          <w:tcPr>
            <w:tcW w:w="4955" w:type="dxa"/>
          </w:tcPr>
          <w:p w:rsidR="00632E87" w:rsidRPr="00FE785B" w:rsidRDefault="00471858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 FINANCEIRA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0047</w:t>
            </w:r>
          </w:p>
        </w:tc>
        <w:tc>
          <w:tcPr>
            <w:tcW w:w="4955" w:type="dxa"/>
          </w:tcPr>
          <w:p w:rsidR="00632E87" w:rsidRPr="00FE785B" w:rsidRDefault="00471858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MODERNIZAÇÃO DE SERVIÇOS DA ADMINISTRAÇÃO FINANCEIRA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632E87" w:rsidRPr="00FE785B" w:rsidRDefault="00471858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955" w:type="dxa"/>
          </w:tcPr>
          <w:p w:rsidR="00632E87" w:rsidRPr="00FE785B" w:rsidRDefault="00B9645A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B9645A" w:rsidRPr="000E3724" w:rsidRDefault="00B9645A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B9645A" w:rsidRPr="000E3724" w:rsidRDefault="00B9645A" w:rsidP="00B9645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R$ </w:t>
      </w:r>
      <w:r w:rsidR="00EB5D5C">
        <w:rPr>
          <w:rFonts w:asciiTheme="majorHAnsi" w:eastAsiaTheme="minorEastAsia" w:hAnsiTheme="majorHAnsi" w:cs="Arial"/>
          <w:szCs w:val="24"/>
          <w:lang w:eastAsia="pt-BR"/>
        </w:rPr>
        <w:t>5</w:t>
      </w:r>
      <w:bookmarkStart w:id="0" w:name="_GoBack"/>
      <w:bookmarkEnd w:id="0"/>
      <w:r>
        <w:rPr>
          <w:rFonts w:asciiTheme="majorHAnsi" w:eastAsiaTheme="minorEastAsia" w:hAnsiTheme="majorHAnsi" w:cs="Arial"/>
          <w:szCs w:val="24"/>
          <w:lang w:eastAsia="pt-BR"/>
        </w:rPr>
        <w:t>0</w:t>
      </w:r>
      <w:r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E15F87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EB5D5C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B9645A" w:rsidRDefault="00B9645A" w:rsidP="00B9645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3E16AE" w:rsidRDefault="003E16AE" w:rsidP="00B9645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1627"/>
        <w:gridCol w:w="4607"/>
      </w:tblGrid>
      <w:tr w:rsidR="003E16AE" w:rsidTr="003E16AE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SUPRIMENTOS E LOGISTICA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782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 RODOVIÁRIO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 FROTA DO MUNICÍPIO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3E16AE" w:rsidTr="003E16A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AE" w:rsidRDefault="003E16AE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MATERIAL DE CONSUMO</w:t>
            </w:r>
          </w:p>
        </w:tc>
      </w:tr>
    </w:tbl>
    <w:p w:rsidR="00B9645A" w:rsidRDefault="00B9645A" w:rsidP="00B9645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B9645A" w:rsidRDefault="00B9645A" w:rsidP="00B9645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3E16AE" w:rsidRDefault="003E16AE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3E16AE" w:rsidRDefault="003E16AE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3E16AE" w:rsidRDefault="003E16AE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3E16AE" w:rsidRDefault="003E16AE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3E16AE" w:rsidRDefault="003E16AE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905B6" w:rsidRPr="000E3724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lastRenderedPageBreak/>
        <w:t>CREDITA DOTAÇÃO</w:t>
      </w:r>
    </w:p>
    <w:p w:rsidR="00632E87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E15F87">
        <w:rPr>
          <w:rFonts w:asciiTheme="majorHAnsi" w:eastAsiaTheme="minorEastAsia" w:hAnsiTheme="majorHAnsi" w:cs="Arial"/>
          <w:szCs w:val="24"/>
          <w:lang w:eastAsia="pt-BR"/>
        </w:rPr>
        <w:t>1</w:t>
      </w:r>
      <w:r w:rsidR="00B9645A">
        <w:rPr>
          <w:rFonts w:asciiTheme="majorHAnsi" w:eastAsiaTheme="minorEastAsia" w:hAnsiTheme="majorHAnsi" w:cs="Arial"/>
          <w:szCs w:val="24"/>
          <w:lang w:eastAsia="pt-BR"/>
        </w:rPr>
        <w:t>00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B9645A">
        <w:rPr>
          <w:rFonts w:asciiTheme="majorHAnsi" w:eastAsiaTheme="minorEastAsia" w:hAnsiTheme="majorHAnsi" w:cs="Arial"/>
          <w:szCs w:val="24"/>
          <w:lang w:eastAsia="pt-BR"/>
        </w:rPr>
        <w:t>trezentos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 xml:space="preserve"> 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8"/>
        <w:gridCol w:w="1632"/>
        <w:gridCol w:w="4594"/>
      </w:tblGrid>
      <w:tr w:rsidR="00632E87" w:rsidTr="00F463A2"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F463A2">
        <w:tc>
          <w:tcPr>
            <w:tcW w:w="2278" w:type="dxa"/>
            <w:tcBorders>
              <w:top w:val="single" w:sz="4" w:space="0" w:color="auto"/>
            </w:tcBorders>
          </w:tcPr>
          <w:p w:rsidR="00632E87" w:rsidRPr="000E3724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32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594" w:type="dxa"/>
            <w:tcBorders>
              <w:top w:val="single" w:sz="4" w:space="0" w:color="auto"/>
            </w:tcBorders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F463A2">
        <w:tc>
          <w:tcPr>
            <w:tcW w:w="2278" w:type="dxa"/>
          </w:tcPr>
          <w:p w:rsidR="00632E87" w:rsidRPr="000E3724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32" w:type="dxa"/>
          </w:tcPr>
          <w:p w:rsidR="00632E87" w:rsidRPr="004E1B41" w:rsidRDefault="004E1B41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E1B41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594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SECRETARIA MUNICIPAL </w:t>
            </w:r>
            <w:r w:rsidR="004E1B41">
              <w:rPr>
                <w:rFonts w:asciiTheme="majorHAnsi" w:eastAsiaTheme="minorEastAsia" w:hAnsiTheme="majorHAnsi" w:cs="Arial"/>
                <w:szCs w:val="24"/>
                <w:lang w:eastAsia="pt-BR"/>
              </w:rPr>
              <w:t>DE SAÚDE</w:t>
            </w:r>
          </w:p>
        </w:tc>
      </w:tr>
      <w:tr w:rsidR="00632E87" w:rsidTr="00F463A2">
        <w:tc>
          <w:tcPr>
            <w:tcW w:w="2278" w:type="dxa"/>
          </w:tcPr>
          <w:p w:rsidR="00632E87" w:rsidRPr="000E3724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32" w:type="dxa"/>
          </w:tcPr>
          <w:p w:rsidR="00632E87" w:rsidRPr="00211CC9" w:rsidRDefault="006B7FB5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4E1B41" w:rsidRPr="00211CC9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4594" w:type="dxa"/>
          </w:tcPr>
          <w:p w:rsidR="00632E87" w:rsidRPr="00211CC9" w:rsidRDefault="004E1B41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211CC9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632E87" w:rsidTr="00F463A2">
        <w:tc>
          <w:tcPr>
            <w:tcW w:w="2278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32" w:type="dxa"/>
          </w:tcPr>
          <w:p w:rsidR="00632E87" w:rsidRPr="004905B6" w:rsidRDefault="004905B6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594" w:type="dxa"/>
          </w:tcPr>
          <w:p w:rsidR="00632E87" w:rsidRPr="004905B6" w:rsidRDefault="004905B6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632E87" w:rsidRPr="001C35A4" w:rsidTr="00F463A2">
        <w:tc>
          <w:tcPr>
            <w:tcW w:w="2278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32" w:type="dxa"/>
          </w:tcPr>
          <w:p w:rsidR="00632E87" w:rsidRPr="004905B6" w:rsidRDefault="006B7FB5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303</w:t>
            </w:r>
          </w:p>
        </w:tc>
        <w:tc>
          <w:tcPr>
            <w:tcW w:w="4594" w:type="dxa"/>
          </w:tcPr>
          <w:p w:rsidR="00632E87" w:rsidRPr="004905B6" w:rsidRDefault="006B7FB5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B7FB5">
              <w:rPr>
                <w:rFonts w:asciiTheme="majorHAnsi" w:eastAsiaTheme="minorEastAsia" w:hAnsiTheme="majorHAnsi" w:cs="Arial"/>
                <w:szCs w:val="24"/>
                <w:lang w:eastAsia="pt-BR"/>
              </w:rPr>
              <w:t>SUPORTE PROFILÁTICO E TERAPÊUTICO</w:t>
            </w:r>
          </w:p>
        </w:tc>
      </w:tr>
      <w:tr w:rsidR="00632E87" w:rsidRPr="001C35A4" w:rsidTr="00F463A2">
        <w:tc>
          <w:tcPr>
            <w:tcW w:w="2278" w:type="dxa"/>
            <w:vAlign w:val="center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32" w:type="dxa"/>
            <w:vAlign w:val="center"/>
          </w:tcPr>
          <w:p w:rsidR="00632E87" w:rsidRPr="004905B6" w:rsidRDefault="00F87BD1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077</w:t>
            </w:r>
          </w:p>
        </w:tc>
        <w:tc>
          <w:tcPr>
            <w:tcW w:w="4594" w:type="dxa"/>
            <w:vAlign w:val="center"/>
          </w:tcPr>
          <w:p w:rsidR="00632E87" w:rsidRPr="004905B6" w:rsidRDefault="00F87BD1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EM SAÚDE</w:t>
            </w:r>
            <w:r w:rsidR="007470A3">
              <w:rPr>
                <w:rFonts w:asciiTheme="majorHAnsi" w:eastAsiaTheme="minorEastAsia" w:hAnsiTheme="majorHAnsi" w:cs="Arial"/>
                <w:szCs w:val="24"/>
                <w:lang w:eastAsia="pt-BR"/>
              </w:rPr>
              <w:t>: APOIANDO E AVALIANDO O CUIDAR DA VIDA NO SUS, COM PARTICIPAÇÃO E CONTROLE SOCIAL</w:t>
            </w:r>
          </w:p>
        </w:tc>
      </w:tr>
      <w:tr w:rsidR="00632E87" w:rsidRPr="000127C5" w:rsidTr="00F463A2">
        <w:tc>
          <w:tcPr>
            <w:tcW w:w="2278" w:type="dxa"/>
          </w:tcPr>
          <w:p w:rsidR="00632E87" w:rsidRDefault="00632E87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32E87" w:rsidRPr="004905B6" w:rsidRDefault="00632E87" w:rsidP="006B7FB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594" w:type="dxa"/>
            <w:tcBorders>
              <w:bottom w:val="single" w:sz="4" w:space="0" w:color="auto"/>
            </w:tcBorders>
          </w:tcPr>
          <w:p w:rsidR="00632E87" w:rsidRPr="004905B6" w:rsidRDefault="00F87BD1" w:rsidP="006B7FB5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CASA DE APOIO A PESSOAS EM TRATAMENTO DE CÂNCER</w:t>
            </w:r>
          </w:p>
        </w:tc>
      </w:tr>
      <w:tr w:rsidR="00F463A2" w:rsidRPr="004905B6" w:rsidTr="00F463A2">
        <w:tc>
          <w:tcPr>
            <w:tcW w:w="2278" w:type="dxa"/>
          </w:tcPr>
          <w:p w:rsidR="00F463A2" w:rsidRPr="004905B6" w:rsidRDefault="00F463A2" w:rsidP="00F463A2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32" w:type="dxa"/>
            <w:shd w:val="clear" w:color="auto" w:fill="auto"/>
          </w:tcPr>
          <w:p w:rsidR="00F463A2" w:rsidRPr="004905B6" w:rsidRDefault="00F463A2" w:rsidP="00F463A2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594" w:type="dxa"/>
            <w:shd w:val="clear" w:color="auto" w:fill="auto"/>
          </w:tcPr>
          <w:p w:rsidR="00F463A2" w:rsidRPr="00FE785B" w:rsidRDefault="00F463A2" w:rsidP="00F463A2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9645A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E15F87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  <w:r w:rsidR="00E15F87">
        <w:rPr>
          <w:rFonts w:asciiTheme="majorHAnsi" w:eastAsiaTheme="minorEastAsia" w:hAnsiTheme="majorHAnsi" w:cs="Times New Roman"/>
          <w:szCs w:val="20"/>
          <w:lang w:eastAsia="pt-BR"/>
        </w:rPr>
        <w:t>.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EC7464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4905B6" w:rsidRDefault="006B7FB5" w:rsidP="004905B6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sectPr w:rsidR="00175913" w:rsidRPr="004905B6" w:rsidSect="00747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0C5A5B"/>
    <w:rsid w:val="00175913"/>
    <w:rsid w:val="00211CC9"/>
    <w:rsid w:val="002A7C90"/>
    <w:rsid w:val="002D079B"/>
    <w:rsid w:val="003E16AE"/>
    <w:rsid w:val="00471858"/>
    <w:rsid w:val="004905B6"/>
    <w:rsid w:val="004E1B41"/>
    <w:rsid w:val="005708D9"/>
    <w:rsid w:val="00595790"/>
    <w:rsid w:val="00632E87"/>
    <w:rsid w:val="00662D84"/>
    <w:rsid w:val="006B7FB5"/>
    <w:rsid w:val="007470A3"/>
    <w:rsid w:val="00755E03"/>
    <w:rsid w:val="00855117"/>
    <w:rsid w:val="00AD5F3B"/>
    <w:rsid w:val="00B9645A"/>
    <w:rsid w:val="00CD01FA"/>
    <w:rsid w:val="00E15F87"/>
    <w:rsid w:val="00EB5D5C"/>
    <w:rsid w:val="00EC7464"/>
    <w:rsid w:val="00ED22E1"/>
    <w:rsid w:val="00F463A2"/>
    <w:rsid w:val="00F87BD1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574B-568A-4562-8133-533BD81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3</cp:revision>
  <dcterms:created xsi:type="dcterms:W3CDTF">2018-10-31T18:24:00Z</dcterms:created>
  <dcterms:modified xsi:type="dcterms:W3CDTF">2018-10-31T18:59:00Z</dcterms:modified>
</cp:coreProperties>
</file>