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D05B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42DC3">
        <w:rPr>
          <w:rFonts w:ascii="Tahoma" w:hAnsi="Tahoma" w:cs="Tahoma"/>
          <w:b/>
          <w:sz w:val="32"/>
          <w:szCs w:val="32"/>
          <w:u w:val="single"/>
        </w:rPr>
        <w:t>251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E42DC3" w:rsidRPr="00E42DC3" w:rsidRDefault="00E42DC3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 PRIMEIRO SECRETÁRIO EDIO LOPES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053DBA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053DBA">
        <w:rPr>
          <w:rFonts w:ascii="Calibri" w:hAnsi="Calibri" w:cs="Calibri"/>
          <w:sz w:val="22"/>
          <w:szCs w:val="22"/>
        </w:rPr>
        <w:t>Inclui no Calendário Oficial de Eventos do Município de Araraquara a corrida “Motivos para Correr”, a ser realizada anualmente no dia 22 de agosto,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63F3">
        <w:rPr>
          <w:rFonts w:ascii="Calibri" w:hAnsi="Calibri" w:cs="Calibri"/>
          <w:sz w:val="24"/>
          <w:szCs w:val="22"/>
        </w:rPr>
        <w:tab/>
      </w:r>
      <w:r w:rsidRPr="006763F3">
        <w:rPr>
          <w:rFonts w:ascii="Calibri" w:hAnsi="Calibri" w:cs="Calibri"/>
          <w:sz w:val="24"/>
          <w:szCs w:val="22"/>
        </w:rPr>
        <w:tab/>
        <w:t>Art. 1º Fica incluída no Calendário Oficial de Eventos do Município de Araraquara a corrida “Motivos para Correr”, a ser realizada anualmente no dia 22 de agosto.</w:t>
      </w: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63F3">
        <w:rPr>
          <w:rFonts w:ascii="Calibri" w:hAnsi="Calibri" w:cs="Calibri"/>
          <w:sz w:val="24"/>
          <w:szCs w:val="22"/>
        </w:rPr>
        <w:tab/>
      </w:r>
      <w:r w:rsidRPr="006763F3">
        <w:rPr>
          <w:rFonts w:ascii="Calibri" w:hAnsi="Calibri" w:cs="Calibri"/>
          <w:sz w:val="24"/>
          <w:szCs w:val="22"/>
        </w:rPr>
        <w:tab/>
        <w:t>Parágrafo único. A corrida “Motivos para Correr” é um evento esportivo em homenagem ao aniversário de Araraquara realizado no Parque Infantil, cujo número de voltas no Parque é correspondente aos anos da existência de Araraquara.</w:t>
      </w: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63F3">
        <w:rPr>
          <w:rFonts w:ascii="Calibri" w:hAnsi="Calibri" w:cs="Calibri"/>
          <w:sz w:val="24"/>
          <w:szCs w:val="22"/>
        </w:rPr>
        <w:tab/>
      </w:r>
      <w:r w:rsidRPr="006763F3">
        <w:rPr>
          <w:rFonts w:ascii="Calibri" w:hAnsi="Calibri" w:cs="Calibri"/>
          <w:sz w:val="24"/>
          <w:szCs w:val="22"/>
        </w:rPr>
        <w:tab/>
        <w:t>Art. 2º Os recursos necessários para atender as despesas com execução desta lei serão obtidos mediante doações e campanhas, sem acarretar ônus para o Município.</w:t>
      </w:r>
    </w:p>
    <w:p w:rsidR="006763F3" w:rsidRPr="006763F3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6763F3">
        <w:rPr>
          <w:rFonts w:ascii="Calibri" w:hAnsi="Calibri" w:cs="Calibri"/>
          <w:sz w:val="24"/>
          <w:szCs w:val="22"/>
        </w:rPr>
        <w:tab/>
      </w:r>
      <w:r w:rsidRPr="006763F3">
        <w:rPr>
          <w:rFonts w:ascii="Calibri" w:hAnsi="Calibri" w:cs="Calibri"/>
          <w:sz w:val="24"/>
          <w:szCs w:val="22"/>
        </w:rPr>
        <w:tab/>
        <w:t>Art. 3º Esta lei entra em vigor na data de sua publicação.</w:t>
      </w:r>
    </w:p>
    <w:p w:rsidR="006763F3" w:rsidRPr="00646520" w:rsidRDefault="006763F3" w:rsidP="006763F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Presidência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05B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D05B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3DB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05BC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230</cp:revision>
  <cp:lastPrinted>2018-06-26T22:41:00Z</cp:lastPrinted>
  <dcterms:created xsi:type="dcterms:W3CDTF">2016-08-16T19:55:00Z</dcterms:created>
  <dcterms:modified xsi:type="dcterms:W3CDTF">2018-10-30T14:09:00Z</dcterms:modified>
</cp:coreProperties>
</file>