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53CF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B24E7">
        <w:rPr>
          <w:rFonts w:ascii="Tahoma" w:hAnsi="Tahoma" w:cs="Tahoma"/>
          <w:b/>
          <w:sz w:val="32"/>
          <w:szCs w:val="32"/>
          <w:u w:val="single"/>
        </w:rPr>
        <w:t>258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B24E7">
        <w:rPr>
          <w:rFonts w:ascii="Tahoma" w:hAnsi="Tahoma" w:cs="Tahoma"/>
          <w:b/>
          <w:sz w:val="32"/>
          <w:szCs w:val="32"/>
          <w:u w:val="single"/>
        </w:rPr>
        <w:t>269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B24E7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B24E7">
        <w:rPr>
          <w:rFonts w:ascii="Calibri" w:hAnsi="Calibri" w:cs="Calibri"/>
          <w:sz w:val="22"/>
          <w:szCs w:val="22"/>
        </w:rPr>
        <w:t>Prorroga o prazo para quitação da concessão onerosa de direito real de uso instituída pela Lei nº 6.639, de 18 de outubro de 2007,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B24E7" w:rsidRPr="009B24E7" w:rsidRDefault="009B24E7" w:rsidP="009B24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B24E7">
        <w:rPr>
          <w:rFonts w:ascii="Calibri" w:hAnsi="Calibri" w:cs="Calibri"/>
          <w:sz w:val="24"/>
          <w:szCs w:val="22"/>
        </w:rPr>
        <w:t xml:space="preserve">Art. 1º Fica prorrogado por 2 (dois) anos, a contar da entrada em vigor desta </w:t>
      </w:r>
      <w:r>
        <w:rPr>
          <w:rFonts w:ascii="Calibri" w:hAnsi="Calibri" w:cs="Calibri"/>
          <w:sz w:val="24"/>
          <w:szCs w:val="22"/>
        </w:rPr>
        <w:t>l</w:t>
      </w:r>
      <w:r w:rsidRPr="009B24E7">
        <w:rPr>
          <w:rFonts w:ascii="Calibri" w:hAnsi="Calibri" w:cs="Calibri"/>
          <w:sz w:val="24"/>
          <w:szCs w:val="22"/>
        </w:rPr>
        <w:t>ei, o prazo para quitação da concessão onerosa de direito real de uso instituída pela Lei nº 6.639, de 18 de outubro de 2007.</w:t>
      </w:r>
    </w:p>
    <w:p w:rsidR="009B24E7" w:rsidRDefault="009B24E7" w:rsidP="009B24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B24E7" w:rsidRPr="009B24E7" w:rsidRDefault="009B24E7" w:rsidP="009B24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B24E7">
        <w:rPr>
          <w:rFonts w:ascii="Calibri" w:hAnsi="Calibri" w:cs="Calibri"/>
          <w:sz w:val="24"/>
          <w:szCs w:val="22"/>
        </w:rPr>
        <w:t xml:space="preserve">Parágrafo único. Para os fins do disposto no </w:t>
      </w:r>
      <w:r>
        <w:rPr>
          <w:rFonts w:ascii="Calibri" w:hAnsi="Calibri" w:cs="Calibri"/>
          <w:sz w:val="24"/>
          <w:szCs w:val="22"/>
        </w:rPr>
        <w:t>“</w:t>
      </w:r>
      <w:r w:rsidRPr="009B24E7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Pr="009B24E7">
        <w:rPr>
          <w:rFonts w:ascii="Calibri" w:hAnsi="Calibri" w:cs="Calibri"/>
          <w:sz w:val="24"/>
          <w:szCs w:val="22"/>
        </w:rPr>
        <w:t xml:space="preserve"> deste artigo, o saldo devedor de cada beneficiário será reajustado, no início de cada ano, com base no coeficiente de atualização aplicável às contas vinculadas do Fundo de</w:t>
      </w:r>
      <w:r w:rsidR="00F53CF4">
        <w:rPr>
          <w:rFonts w:ascii="Calibri" w:hAnsi="Calibri" w:cs="Calibri"/>
          <w:sz w:val="24"/>
          <w:szCs w:val="22"/>
        </w:rPr>
        <w:t xml:space="preserve"> Garantia do Tempo de Serviço (</w:t>
      </w:r>
      <w:r w:rsidRPr="009B24E7">
        <w:rPr>
          <w:rFonts w:ascii="Calibri" w:hAnsi="Calibri" w:cs="Calibri"/>
          <w:sz w:val="24"/>
          <w:szCs w:val="22"/>
        </w:rPr>
        <w:t>FGTS</w:t>
      </w:r>
      <w:r w:rsidR="00F53CF4">
        <w:rPr>
          <w:rFonts w:ascii="Calibri" w:hAnsi="Calibri" w:cs="Calibri"/>
          <w:sz w:val="24"/>
          <w:szCs w:val="22"/>
        </w:rPr>
        <w:t>)</w:t>
      </w:r>
      <w:r w:rsidRPr="009B24E7">
        <w:rPr>
          <w:rFonts w:ascii="Calibri" w:hAnsi="Calibri" w:cs="Calibri"/>
          <w:sz w:val="24"/>
          <w:szCs w:val="22"/>
        </w:rPr>
        <w:t>.</w:t>
      </w:r>
    </w:p>
    <w:p w:rsidR="009B24E7" w:rsidRDefault="009B24E7" w:rsidP="009B24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B24E7" w:rsidRPr="009B24E7" w:rsidRDefault="009B24E7" w:rsidP="009B24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B24E7">
        <w:rPr>
          <w:rFonts w:ascii="Calibri" w:hAnsi="Calibri" w:cs="Calibri"/>
          <w:sz w:val="24"/>
          <w:szCs w:val="22"/>
        </w:rPr>
        <w:t xml:space="preserve">Art. 2º Caso o resultado da divisão do saldo devedor em 24 (vinte e quatro) parcelas, na forma do </w:t>
      </w:r>
      <w:r>
        <w:rPr>
          <w:rFonts w:ascii="Calibri" w:hAnsi="Calibri" w:cs="Calibri"/>
          <w:sz w:val="24"/>
          <w:szCs w:val="22"/>
        </w:rPr>
        <w:t>“</w:t>
      </w:r>
      <w:r w:rsidRPr="009B24E7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Pr="009B24E7">
        <w:rPr>
          <w:rFonts w:ascii="Calibri" w:hAnsi="Calibri" w:cs="Calibri"/>
          <w:sz w:val="24"/>
          <w:szCs w:val="22"/>
        </w:rPr>
        <w:t xml:space="preserve"> e do pa</w:t>
      </w:r>
      <w:r>
        <w:rPr>
          <w:rFonts w:ascii="Calibri" w:hAnsi="Calibri" w:cs="Calibri"/>
          <w:sz w:val="24"/>
          <w:szCs w:val="22"/>
        </w:rPr>
        <w:t>rágrafo único do art. 1º</w:t>
      </w:r>
      <w:r w:rsidRPr="009B24E7">
        <w:rPr>
          <w:rFonts w:ascii="Calibri" w:hAnsi="Calibri" w:cs="Calibri"/>
          <w:sz w:val="24"/>
          <w:szCs w:val="22"/>
        </w:rPr>
        <w:t>, resulte em prestação que comprometa mais de 1/3 (um terço) da renda familiar do beneficiado, o parcelamento poderá ser aumentado em tantas parcelas quant</w:t>
      </w:r>
      <w:r>
        <w:rPr>
          <w:rFonts w:ascii="Calibri" w:hAnsi="Calibri" w:cs="Calibri"/>
          <w:sz w:val="24"/>
          <w:szCs w:val="22"/>
        </w:rPr>
        <w:t>as</w:t>
      </w:r>
      <w:r w:rsidRPr="009B24E7">
        <w:rPr>
          <w:rFonts w:ascii="Calibri" w:hAnsi="Calibri" w:cs="Calibri"/>
          <w:sz w:val="24"/>
          <w:szCs w:val="22"/>
        </w:rPr>
        <w:t xml:space="preserve"> forem necessárias para obtenção de um valor mensal de prestação não superior a 1/3 (um terço) da renda familiar do beneficiado.</w:t>
      </w:r>
    </w:p>
    <w:p w:rsidR="009B24E7" w:rsidRDefault="009B24E7" w:rsidP="009B24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B24E7" w:rsidRDefault="009B24E7" w:rsidP="009B24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B24E7">
        <w:rPr>
          <w:rFonts w:ascii="Calibri" w:hAnsi="Calibri" w:cs="Calibri"/>
          <w:sz w:val="24"/>
          <w:szCs w:val="22"/>
        </w:rPr>
        <w:t xml:space="preserve">Parágrafo único. O deferimento do prazo adicional referido no </w:t>
      </w:r>
      <w:r>
        <w:rPr>
          <w:rFonts w:ascii="Calibri" w:hAnsi="Calibri" w:cs="Calibri"/>
          <w:sz w:val="24"/>
          <w:szCs w:val="22"/>
        </w:rPr>
        <w:t>“</w:t>
      </w:r>
      <w:r w:rsidRPr="009B24E7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Pr="009B24E7">
        <w:rPr>
          <w:rFonts w:ascii="Calibri" w:hAnsi="Calibri" w:cs="Calibri"/>
          <w:sz w:val="24"/>
          <w:szCs w:val="22"/>
        </w:rPr>
        <w:t xml:space="preserve"> deste artigo é condicionado à existência de </w:t>
      </w:r>
      <w:r>
        <w:rPr>
          <w:rFonts w:ascii="Calibri" w:hAnsi="Calibri" w:cs="Calibri"/>
          <w:sz w:val="24"/>
          <w:szCs w:val="22"/>
        </w:rPr>
        <w:t>l</w:t>
      </w:r>
      <w:r w:rsidRPr="009B24E7">
        <w:rPr>
          <w:rFonts w:ascii="Calibri" w:hAnsi="Calibri" w:cs="Calibri"/>
          <w:sz w:val="24"/>
          <w:szCs w:val="22"/>
        </w:rPr>
        <w:t xml:space="preserve">audo </w:t>
      </w:r>
      <w:r>
        <w:rPr>
          <w:rFonts w:ascii="Calibri" w:hAnsi="Calibri" w:cs="Calibri"/>
          <w:sz w:val="24"/>
          <w:szCs w:val="22"/>
        </w:rPr>
        <w:t>s</w:t>
      </w:r>
      <w:r w:rsidRPr="009B24E7">
        <w:rPr>
          <w:rFonts w:ascii="Calibri" w:hAnsi="Calibri" w:cs="Calibri"/>
          <w:sz w:val="24"/>
          <w:szCs w:val="22"/>
        </w:rPr>
        <w:t xml:space="preserve">ocial realizado pela Gerência do Cadastro e Gestão Socioeconômica, no qual esteja comprovada a vulnerabilidade social e a incapacidade financeira do beneficiário para a quitação do saldo devedor de acordo com os parâmetros estabelecidos nesta </w:t>
      </w:r>
      <w:r>
        <w:rPr>
          <w:rFonts w:ascii="Calibri" w:hAnsi="Calibri" w:cs="Calibri"/>
          <w:sz w:val="24"/>
          <w:szCs w:val="22"/>
        </w:rPr>
        <w:t>l</w:t>
      </w:r>
      <w:r w:rsidRPr="009B24E7">
        <w:rPr>
          <w:rFonts w:ascii="Calibri" w:hAnsi="Calibri" w:cs="Calibri"/>
          <w:sz w:val="24"/>
          <w:szCs w:val="22"/>
        </w:rPr>
        <w:t>ei.</w:t>
      </w:r>
    </w:p>
    <w:p w:rsidR="009B24E7" w:rsidRPr="009B24E7" w:rsidRDefault="009B24E7" w:rsidP="009B24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B24E7" w:rsidRPr="009B24E7" w:rsidRDefault="009B24E7" w:rsidP="009B24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B24E7">
        <w:rPr>
          <w:rFonts w:ascii="Calibri" w:hAnsi="Calibri" w:cs="Calibri"/>
          <w:sz w:val="24"/>
          <w:szCs w:val="22"/>
        </w:rPr>
        <w:t>Art. 3º Após a quitação do saldo devedor, ao final das parcelas ou antecipadamente, de acordo com a disponibilidade financeira do beneficiário, será emitido pela Coordenadoria Executiva de Habitação um “</w:t>
      </w:r>
      <w:r w:rsidR="00F53CF4">
        <w:rPr>
          <w:rFonts w:ascii="Calibri" w:hAnsi="Calibri" w:cs="Calibri"/>
          <w:sz w:val="24"/>
          <w:szCs w:val="22"/>
        </w:rPr>
        <w:t>t</w:t>
      </w:r>
      <w:r w:rsidRPr="009B24E7">
        <w:rPr>
          <w:rFonts w:ascii="Calibri" w:hAnsi="Calibri" w:cs="Calibri"/>
          <w:sz w:val="24"/>
          <w:szCs w:val="22"/>
        </w:rPr>
        <w:t xml:space="preserve">ermo de </w:t>
      </w:r>
      <w:r w:rsidR="00F53CF4">
        <w:rPr>
          <w:rFonts w:ascii="Calibri" w:hAnsi="Calibri" w:cs="Calibri"/>
          <w:sz w:val="24"/>
          <w:szCs w:val="22"/>
        </w:rPr>
        <w:t>q</w:t>
      </w:r>
      <w:r w:rsidRPr="009B24E7">
        <w:rPr>
          <w:rFonts w:ascii="Calibri" w:hAnsi="Calibri" w:cs="Calibri"/>
          <w:sz w:val="24"/>
          <w:szCs w:val="22"/>
        </w:rPr>
        <w:t>uitação”, que será levado a registro no 1º Cartório de Registro de Imóveis de Araraquara pelo beneficiário.</w:t>
      </w:r>
    </w:p>
    <w:p w:rsidR="00F53CF4" w:rsidRDefault="00F53CF4" w:rsidP="009B24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B24E7" w:rsidRPr="009B24E7" w:rsidRDefault="00F53CF4" w:rsidP="009B24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9B24E7" w:rsidRPr="009B24E7">
        <w:rPr>
          <w:rFonts w:ascii="Calibri" w:hAnsi="Calibri" w:cs="Calibri"/>
          <w:sz w:val="24"/>
          <w:szCs w:val="22"/>
        </w:rPr>
        <w:t xml:space="preserve">Art. 4º Durante o prazo de quitação da concessão onerosa de direito real de uso instituída pela Lei nº 6.639, de 18 de outubro de 2007, a titularidade da concessão apenas se transfere, de maneira </w:t>
      </w:r>
      <w:r>
        <w:rPr>
          <w:rFonts w:ascii="Calibri" w:hAnsi="Calibri" w:cs="Calibri"/>
          <w:sz w:val="24"/>
          <w:szCs w:val="22"/>
        </w:rPr>
        <w:t>“</w:t>
      </w:r>
      <w:r w:rsidR="009B24E7" w:rsidRPr="009B24E7">
        <w:rPr>
          <w:rFonts w:ascii="Calibri" w:hAnsi="Calibri" w:cs="Calibri"/>
          <w:sz w:val="24"/>
          <w:szCs w:val="22"/>
        </w:rPr>
        <w:t>causa mortis</w:t>
      </w:r>
      <w:r>
        <w:rPr>
          <w:rFonts w:ascii="Calibri" w:hAnsi="Calibri" w:cs="Calibri"/>
          <w:sz w:val="24"/>
          <w:szCs w:val="22"/>
        </w:rPr>
        <w:t>”</w:t>
      </w:r>
      <w:r w:rsidR="009B24E7" w:rsidRPr="009B24E7">
        <w:rPr>
          <w:rFonts w:ascii="Calibri" w:hAnsi="Calibri" w:cs="Calibri"/>
          <w:sz w:val="24"/>
          <w:szCs w:val="22"/>
        </w:rPr>
        <w:t>, aos herdeiros do concessionário.</w:t>
      </w:r>
    </w:p>
    <w:p w:rsidR="00F53CF4" w:rsidRDefault="00F53CF4" w:rsidP="009B24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B24E7" w:rsidRPr="009B24E7" w:rsidRDefault="00F53CF4" w:rsidP="009B24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9B24E7" w:rsidRPr="009B24E7">
        <w:rPr>
          <w:rFonts w:ascii="Calibri" w:hAnsi="Calibri" w:cs="Calibri"/>
          <w:sz w:val="24"/>
          <w:szCs w:val="22"/>
        </w:rPr>
        <w:t xml:space="preserve">Parágrafo único. Na hipótese de transferência da concessão, nos termos do </w:t>
      </w:r>
      <w:r>
        <w:rPr>
          <w:rFonts w:ascii="Calibri" w:hAnsi="Calibri" w:cs="Calibri"/>
          <w:sz w:val="24"/>
          <w:szCs w:val="22"/>
        </w:rPr>
        <w:t>“</w:t>
      </w:r>
      <w:r w:rsidR="009B24E7" w:rsidRPr="009B24E7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="009B24E7" w:rsidRPr="009B24E7">
        <w:rPr>
          <w:rFonts w:ascii="Calibri" w:hAnsi="Calibri" w:cs="Calibri"/>
          <w:sz w:val="24"/>
          <w:szCs w:val="22"/>
        </w:rPr>
        <w:t xml:space="preserve"> deste artigo, o contrato de concessão será aditado, para nele fazer constar o(s) novo(s) concessionário(s). </w:t>
      </w:r>
    </w:p>
    <w:p w:rsidR="00F53CF4" w:rsidRDefault="00F53CF4" w:rsidP="009B24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B24E7" w:rsidRDefault="00F53CF4" w:rsidP="009B24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9B24E7" w:rsidRPr="009B24E7">
        <w:rPr>
          <w:rFonts w:ascii="Calibri" w:hAnsi="Calibri" w:cs="Calibri"/>
          <w:sz w:val="24"/>
          <w:szCs w:val="22"/>
        </w:rPr>
        <w:t>Art. 5º Revoga-se o inciso IV do art. 5º da Lei nº 6.639, de 18 de outubro de 2007.</w:t>
      </w:r>
    </w:p>
    <w:p w:rsidR="00F53CF4" w:rsidRPr="009B24E7" w:rsidRDefault="00F53CF4" w:rsidP="009B24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F53CF4" w:rsidP="009B24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9B24E7" w:rsidRPr="009B24E7">
        <w:rPr>
          <w:rFonts w:ascii="Calibri" w:hAnsi="Calibri" w:cs="Calibri"/>
          <w:sz w:val="24"/>
          <w:szCs w:val="22"/>
        </w:rPr>
        <w:t>Art. 6º Esta Lei entra em vigor na data de sua publicação.</w:t>
      </w:r>
    </w:p>
    <w:p w:rsidR="00F53CF4" w:rsidRPr="00646520" w:rsidRDefault="00F53CF4" w:rsidP="009B24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250B0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250B0">
        <w:rPr>
          <w:rFonts w:ascii="Calibri" w:hAnsi="Calibri" w:cs="Calibri"/>
          <w:sz w:val="24"/>
          <w:szCs w:val="24"/>
        </w:rPr>
        <w:t>vinte e quatro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53CF4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53CF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53CF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B24E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3CF4"/>
    <w:rsid w:val="00F545AF"/>
    <w:rsid w:val="00F62F52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156</cp:revision>
  <cp:lastPrinted>2018-06-26T22:41:00Z</cp:lastPrinted>
  <dcterms:created xsi:type="dcterms:W3CDTF">2016-08-16T19:55:00Z</dcterms:created>
  <dcterms:modified xsi:type="dcterms:W3CDTF">2018-10-23T20:35:00Z</dcterms:modified>
</cp:coreProperties>
</file>