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599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2599F">
        <w:rPr>
          <w:rFonts w:ascii="Tahoma" w:hAnsi="Tahoma" w:cs="Tahoma"/>
          <w:b/>
          <w:sz w:val="32"/>
          <w:szCs w:val="32"/>
          <w:u w:val="single"/>
        </w:rPr>
        <w:t>254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2599F">
        <w:rPr>
          <w:rFonts w:ascii="Tahoma" w:hAnsi="Tahoma" w:cs="Tahoma"/>
          <w:b/>
          <w:sz w:val="32"/>
          <w:szCs w:val="32"/>
          <w:u w:val="single"/>
        </w:rPr>
        <w:t>266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22599F" w:rsidRPr="0022599F" w:rsidRDefault="0022599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2599F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2599F">
        <w:rPr>
          <w:rFonts w:ascii="Calibri" w:hAnsi="Calibri" w:cs="Calibri"/>
          <w:sz w:val="22"/>
          <w:szCs w:val="22"/>
        </w:rPr>
        <w:t>Revoga a Lei nº 9.236, de 28 de março de 2018</w:t>
      </w:r>
      <w:r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2599F" w:rsidRPr="0022599F" w:rsidRDefault="0022599F" w:rsidP="002259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599F">
        <w:rPr>
          <w:rFonts w:ascii="Calibri" w:hAnsi="Calibri" w:cs="Calibri"/>
          <w:sz w:val="24"/>
          <w:szCs w:val="22"/>
        </w:rPr>
        <w:t>Art. 1º Fica revogada a Lei nº 9.236, de 28 de março de 2018.</w:t>
      </w:r>
    </w:p>
    <w:p w:rsidR="0022599F" w:rsidRPr="0022599F" w:rsidRDefault="0022599F" w:rsidP="002259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2599F" w:rsidP="002259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599F">
        <w:rPr>
          <w:rFonts w:ascii="Calibri" w:hAnsi="Calibri" w:cs="Calibri"/>
          <w:sz w:val="24"/>
          <w:szCs w:val="22"/>
        </w:rPr>
        <w:t>Art. 2º Esta lei entra em vigor na data da sua publicação.</w:t>
      </w:r>
    </w:p>
    <w:p w:rsidR="0022599F" w:rsidRPr="00646520" w:rsidRDefault="0022599F" w:rsidP="002259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6D62F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6D62FB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59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59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599F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2018-10-16T18:13:00Z</dcterms:modified>
</cp:coreProperties>
</file>