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F5B0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F5B04">
        <w:rPr>
          <w:rFonts w:ascii="Tahoma" w:hAnsi="Tahoma" w:cs="Tahoma"/>
          <w:b/>
          <w:sz w:val="32"/>
          <w:szCs w:val="32"/>
          <w:u w:val="single"/>
        </w:rPr>
        <w:t>241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E24B7">
        <w:rPr>
          <w:rFonts w:ascii="Tahoma" w:hAnsi="Tahoma" w:cs="Tahoma"/>
          <w:b/>
          <w:sz w:val="32"/>
          <w:szCs w:val="32"/>
          <w:u w:val="single"/>
        </w:rPr>
        <w:t>157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0E24B7" w:rsidRPr="000E24B7" w:rsidRDefault="000E24B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124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1246">
        <w:rPr>
          <w:rFonts w:ascii="Calibri" w:hAnsi="Calibri" w:cs="Calibri"/>
          <w:sz w:val="22"/>
          <w:szCs w:val="22"/>
        </w:rPr>
        <w:t>Institui e inclui no Calendário Oficial de Eventos do Município de Araraquara a “Semana dos Museus”, a ser comemorada anualmente na terceira semana do mês de maio,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1246">
        <w:rPr>
          <w:rFonts w:ascii="Calibri" w:hAnsi="Calibri" w:cs="Calibri"/>
          <w:sz w:val="24"/>
          <w:szCs w:val="22"/>
        </w:rPr>
        <w:tab/>
      </w:r>
      <w:r w:rsidRPr="006C1246">
        <w:rPr>
          <w:rFonts w:ascii="Calibri" w:hAnsi="Calibri" w:cs="Calibri"/>
          <w:sz w:val="24"/>
          <w:szCs w:val="22"/>
        </w:rPr>
        <w:tab/>
        <w:t>Art. 1º Fica instituída e incluída no Calendário Oficial de Eventos do Município de Araraquara a “Semana dos Museus”, a ser comemorada anualmente na terceira semana do mês de maio.</w:t>
      </w: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1246">
        <w:rPr>
          <w:rFonts w:ascii="Calibri" w:hAnsi="Calibri" w:cs="Calibri"/>
          <w:sz w:val="24"/>
          <w:szCs w:val="22"/>
        </w:rPr>
        <w:tab/>
      </w:r>
      <w:r w:rsidRPr="006C1246">
        <w:rPr>
          <w:rFonts w:ascii="Calibri" w:hAnsi="Calibri" w:cs="Calibri"/>
          <w:sz w:val="24"/>
          <w:szCs w:val="22"/>
        </w:rPr>
        <w:tab/>
        <w:t>Art. 2º A data a que se refere o art. 1º poderá ser comemorada anualmente com reuniões, palestras, seminários, ou outros eventos.</w:t>
      </w: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1246">
        <w:rPr>
          <w:rFonts w:ascii="Calibri" w:hAnsi="Calibri" w:cs="Calibri"/>
          <w:sz w:val="24"/>
          <w:szCs w:val="22"/>
        </w:rPr>
        <w:tab/>
      </w:r>
      <w:r w:rsidRPr="006C1246">
        <w:rPr>
          <w:rFonts w:ascii="Calibri" w:hAnsi="Calibri" w:cs="Calibri"/>
          <w:sz w:val="24"/>
          <w:szCs w:val="22"/>
        </w:rPr>
        <w:tab/>
        <w:t>Art. 3º Os recursos necessários para atender as despesas com execução desta lei serão obtidos mediante doações e campanhas, sem acarretar ônus para o Município.</w:t>
      </w:r>
    </w:p>
    <w:p w:rsidR="006C1246" w:rsidRPr="006C1246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C1246">
        <w:rPr>
          <w:rFonts w:ascii="Calibri" w:hAnsi="Calibri" w:cs="Calibri"/>
          <w:sz w:val="24"/>
          <w:szCs w:val="22"/>
        </w:rPr>
        <w:tab/>
      </w:r>
      <w:r w:rsidRPr="006C1246">
        <w:rPr>
          <w:rFonts w:ascii="Calibri" w:hAnsi="Calibri" w:cs="Calibri"/>
          <w:sz w:val="24"/>
          <w:szCs w:val="22"/>
        </w:rPr>
        <w:tab/>
        <w:t>Art. 4º Esta lei entra em vigor na data de sua publicação.</w:t>
      </w:r>
    </w:p>
    <w:p w:rsidR="006C1246" w:rsidRPr="00646520" w:rsidRDefault="006C1246" w:rsidP="006C12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5B0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5B0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0E24B7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1246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5B04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2018-10-02T14:41:00Z</dcterms:modified>
</cp:coreProperties>
</file>