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260B2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260B2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0260B2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</w:t>
      </w:r>
      <w:r w:rsidR="000260B2">
        <w:rPr>
          <w:rFonts w:ascii="Arial" w:hAnsi="Arial" w:cs="Arial"/>
          <w:sz w:val="24"/>
          <w:szCs w:val="24"/>
        </w:rPr>
        <w:t xml:space="preserve"> Complementar</w:t>
      </w:r>
      <w:r w:rsidR="00CE7817" w:rsidRPr="00EF7583">
        <w:rPr>
          <w:rFonts w:ascii="Arial" w:hAnsi="Arial" w:cs="Arial"/>
          <w:sz w:val="24"/>
          <w:szCs w:val="24"/>
        </w:rPr>
        <w:t xml:space="preserve"> nº </w:t>
      </w:r>
      <w:r w:rsidR="000260B2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1</w:t>
      </w:r>
      <w:r w:rsidR="000260B2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0260B2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0260B2">
        <w:rPr>
          <w:b/>
          <w:bCs/>
          <w:sz w:val="32"/>
          <w:szCs w:val="32"/>
        </w:rPr>
        <w:t>0</w:t>
      </w:r>
      <w:r w:rsidR="008B13B9">
        <w:rPr>
          <w:b/>
          <w:bCs/>
          <w:sz w:val="32"/>
          <w:szCs w:val="32"/>
        </w:rPr>
        <w:t>1</w:t>
      </w:r>
      <w:r w:rsidR="000260B2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91C3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91C31">
        <w:rPr>
          <w:rFonts w:ascii="Arial" w:hAnsi="Arial" w:cs="Arial"/>
          <w:sz w:val="22"/>
          <w:szCs w:val="22"/>
        </w:rPr>
        <w:t>Altera a Lei Complementar nº 889, de 04 de junho de 2018,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ab/>
      </w:r>
      <w:r w:rsidRPr="00491C31">
        <w:rPr>
          <w:rFonts w:ascii="Arial" w:hAnsi="Arial" w:cs="Arial"/>
          <w:sz w:val="24"/>
          <w:szCs w:val="24"/>
        </w:rPr>
        <w:tab/>
        <w:t>Art. 1º A Lei Complementar nº 889, de 04 de junho de 2018, passa a vigorar com as seguintes alterações: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“Art. 1º [...]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...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1º-A Para os fins desta lei complementar considera-se: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 – área arborizada: área composta por fragmento de vegetação com a presença de espécies arbóreas nativas e exóticas, admitindo-se para efeito de cálculo a presença de árvores nativas isoladas.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 - área permeável: consiste na somatória de toda parte do terreno que não possui edificação ou revestimento que impermeabilize total ou parcialmente o solo (piso, concreto, bloco, pavimento, etc.) permitindo que a água da chuva penetre no solo, tais como solo em condição natural ou revestido com vegetação (grama, arbustos ou árvores). Áreas destinadas ao passeio público e calçamentos, marquises e estacionamentos não deverão ser computadas como área permeável.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III – sistema fotovoltaico: sistema conectado à rede de distribuição de energia elétrica “</w:t>
      </w:r>
      <w:proofErr w:type="spellStart"/>
      <w:r w:rsidRPr="00491C31">
        <w:rPr>
          <w:rFonts w:ascii="Arial" w:hAnsi="Arial" w:cs="Arial"/>
          <w:sz w:val="24"/>
          <w:szCs w:val="24"/>
        </w:rPr>
        <w:t>on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grid” e sistemas isolados “off grid” de energia obtida através da conversão da luz solar em eletricidade através de células fotovoltaicas; 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IV – aquecimento hidráulico solar: Sistema de Aquecimento Solar (SAS) de água, composto por coletores (placas solares), reservatório térmico, acessórios e interligações hidráulicas (exceto piscinas), de acordo com os normativos existentes.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V – área construída: área total construída de uma edificação sendo considerada toda a área coberta, com pé-direito superior a 2,00m (dois metros), nos termos da legislação em vigor e constantes na matrícula e cadastro municipal imobiliário;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lastRenderedPageBreak/>
        <w:t>VI – área total do terreno: área total de um imóvel ou propriedade constante na respectiva matrícula ou cadastro municipal imobiliário.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2º ...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 - propriedades urbanas edificadas e com finalidade residencial com área total de terreno de até 1.000m² (mil metros quadrados);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 - propriedades urbanas, edificadas ou não, com área total do terreno superior a 1.000m</w:t>
      </w:r>
      <w:r w:rsidRPr="00491C31">
        <w:rPr>
          <w:rFonts w:ascii="Arial" w:hAnsi="Arial" w:cs="Arial"/>
          <w:sz w:val="24"/>
          <w:szCs w:val="24"/>
          <w:vertAlign w:val="superscript"/>
        </w:rPr>
        <w:t>2</w:t>
      </w:r>
      <w:r w:rsidRPr="00491C31">
        <w:rPr>
          <w:rFonts w:ascii="Arial" w:hAnsi="Arial" w:cs="Arial"/>
          <w:sz w:val="24"/>
          <w:szCs w:val="24"/>
        </w:rPr>
        <w:t xml:space="preserve"> (mil metros quadrados).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...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3º Na hipótese prevista no inciso I do art. 2º desta lei complementar, terá direito a desconto no valor do Imposto Predial e Territorial Urbano (IPTU), de forma cumulativa para cada item abaixo, atingindo um desconto máximo de 20% (vinte por cento), os contribuintes cujo imóvel a ser tributado por IPTU conte: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 – com instalação e utilização de sistema fotovoltaico: 10% (dez por cento) de desconto;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 – com área permeável superior a 30% (trinta por cento) da área total do imóvel: 6% (seis por cento) de desconto;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III – com instalação e utilização de aquecimento hidráulico solar: 4% (quatro por cento) de desconto.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4º Nas hipóteses previstas no inciso II do art. 2º desta lei complementar, os percentuais de isenção serão concedidos de acordo com o seguinte escalonamento: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tbl>
      <w:tblPr>
        <w:tblW w:w="379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2261"/>
      </w:tblGrid>
      <w:tr w:rsidR="00491C31" w:rsidRPr="00491C31" w:rsidTr="007E4998">
        <w:trPr>
          <w:jc w:val="right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91C31" w:rsidRPr="00491C31" w:rsidRDefault="00491C31" w:rsidP="007E499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C31">
              <w:rPr>
                <w:rFonts w:ascii="Arial" w:hAnsi="Arial" w:cs="Arial"/>
                <w:sz w:val="24"/>
                <w:szCs w:val="24"/>
              </w:rPr>
              <w:t>Enquadramento da Propriedade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C31">
              <w:rPr>
                <w:rFonts w:ascii="Arial" w:hAnsi="Arial" w:cs="Arial"/>
                <w:sz w:val="24"/>
                <w:szCs w:val="24"/>
              </w:rPr>
              <w:t>Percentual de Projeção de Copa da Vegetação Arbórea Existente em relação à área da Propriedade.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tabs>
                <w:tab w:val="left" w:pos="8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C31">
              <w:rPr>
                <w:rFonts w:ascii="Arial" w:hAnsi="Arial" w:cs="Arial"/>
                <w:sz w:val="24"/>
                <w:szCs w:val="24"/>
              </w:rPr>
              <w:t>Percentual de Isenção do IPTU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Abaixo de 30%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0%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30% até 40%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10%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40% até 50%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15%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50% até 60%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20%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60% até 70%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25%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70% até 80%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30%</w:t>
            </w:r>
          </w:p>
        </w:tc>
      </w:tr>
      <w:tr w:rsidR="00491C31" w:rsidRPr="00491C31" w:rsidTr="007E4998">
        <w:trPr>
          <w:jc w:val="right"/>
        </w:trPr>
        <w:tc>
          <w:tcPr>
            <w:tcW w:w="3416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Acima de 80%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91C31" w:rsidRPr="00491C31" w:rsidRDefault="00491C31" w:rsidP="007E4998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491C31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40%</w:t>
            </w:r>
          </w:p>
        </w:tc>
      </w:tr>
    </w:tbl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§ 1º As propriedades referidas no inciso II do art. 2º desta lei complementar terão direito à isenção parcial do IPTU, conforme art. 4º, se possuírem, pelo menos, uma das áreas a seguir: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 - áreas declaradas como reserva legal, assim definida pelo Código Florestal, e com registro em matrícula do imóvel, com vegetação arbórea de altura superior a 1,50m (um metro e meio), preservada, recuperada ou em processo de recuperação;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lastRenderedPageBreak/>
        <w:t>II - área arborizada e permeável, conforme indicado nos incisos I e II do artigo 1º-A desta lei complementar, mantida dentro da propriedade, com vegetação arbórea de altura superior a 1,50m (um metro e meio).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§ 2º Para efeito da concessão das isenções referidas neste artigo, as propriedades ou áreas arborizadas deverão estar devidamente protegidas por algum tipo de </w:t>
      </w:r>
      <w:proofErr w:type="spellStart"/>
      <w:r w:rsidRPr="00491C31">
        <w:rPr>
          <w:rFonts w:ascii="Arial" w:hAnsi="Arial" w:cs="Arial"/>
          <w:sz w:val="24"/>
          <w:szCs w:val="24"/>
        </w:rPr>
        <w:t>cercamento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e com aceiros (faixa capinada de aproximadamente de 2,00m nos limites da área), quando necessário, a fim de se evitar a propagação de queimadas e a invasão de animais domésticos de grande e médio porte (bovinos, equinos, suínos, ovinos, caprinos, muares e similares) e deverão estar em constante manutenção e controles de pragas a fim de garantir condições suficientes para o desenvolvimento adequado da vegetação.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§ 3º Para a concessão de isenção de que trata esta lei complementar, não serão consideradas as porções dos imóveis correspondentes a Áreas de Preservação Permanente (APP).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5º ...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I – para as hipóteses previstas no inciso I do art. 2º, ao protocolo no </w:t>
      </w:r>
      <w:proofErr w:type="spellStart"/>
      <w:r w:rsidRPr="00491C31">
        <w:rPr>
          <w:rFonts w:ascii="Arial" w:hAnsi="Arial" w:cs="Arial"/>
          <w:sz w:val="24"/>
          <w:szCs w:val="24"/>
        </w:rPr>
        <w:t>Daae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Araraquara de requerimento padrão, pelo proprietário do imóvel, ou seu representante legal, que desejar ser beneficiado por esta lei complementar, no período de 1º de janeiro a 31 de julho do exercício anterior à concessão da isenção, assim como os documentos necessários e obrigatórios relacionados abaixo: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a) cópia do documento oficial de identificação com foto (RG, CNH, etc.) e CPF, caso necessário, do proprietário, titular ou possuidor do imóvel ou procuração com firma reconhecida, quando for o caso;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b) cópia de documento de identificação do cadastro imobiliário no município atualizado, constante no carnê de IPTU;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c) cópia do habite-se do imóvel expedido pela Prefeitura Municipal de Araraquara, quando for o caso;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d) cópia do contrato de adesão ao sistema de compensação de energia elétrica entre o </w:t>
      </w:r>
      <w:proofErr w:type="spellStart"/>
      <w:r w:rsidRPr="00491C31">
        <w:rPr>
          <w:rFonts w:ascii="Arial" w:hAnsi="Arial" w:cs="Arial"/>
          <w:sz w:val="24"/>
          <w:szCs w:val="24"/>
        </w:rPr>
        <w:t>acessante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e a distribuidora de energia elétrica, ou cópia da conta atualizada da distribuidora de energia elétrica, onde conste a adesão ao sistema “</w:t>
      </w:r>
      <w:proofErr w:type="spellStart"/>
      <w:r w:rsidRPr="00491C31">
        <w:rPr>
          <w:rFonts w:ascii="Arial" w:hAnsi="Arial" w:cs="Arial"/>
          <w:sz w:val="24"/>
          <w:szCs w:val="24"/>
        </w:rPr>
        <w:t>on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grid”, quando for o caso;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e) nota fiscal de compra e instalação do sistema de aquecimento hidráulico solar, declaração de empresa ou profissional habilitado, atestando a existência e características do sistema instalado e existente no imóvel de acordo com normativos existentes, quando for o caso, ou declaração do proprietário do imóvel, acompanhado de imagens comprobatórias da instalação e funcionamento do sistema;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lastRenderedPageBreak/>
        <w:t xml:space="preserve">f) cópia do quadro de áreas da planta aprovada pela Prefeitura Municipal de Araraquara, acompanhado do original para autenticação ou croqui do imóvel com a indicação do contorno das áreas edificadas e das áreas permeáveis com das respectivas medidas, quando for o caso; 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g) documentação fotográfica que comprove a permeabilidade especificada no inciso II do art. 3º.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II – para as hipóteses previstas no inciso II do art. 2º, ao protocolo no </w:t>
      </w:r>
      <w:proofErr w:type="spellStart"/>
      <w:r w:rsidRPr="00491C31">
        <w:rPr>
          <w:rFonts w:ascii="Arial" w:hAnsi="Arial" w:cs="Arial"/>
          <w:sz w:val="24"/>
          <w:szCs w:val="24"/>
        </w:rPr>
        <w:t>Daae</w:t>
      </w:r>
      <w:proofErr w:type="spellEnd"/>
      <w:r w:rsidRPr="00491C31">
        <w:rPr>
          <w:rFonts w:ascii="Arial" w:hAnsi="Arial" w:cs="Arial"/>
          <w:sz w:val="24"/>
          <w:szCs w:val="24"/>
        </w:rPr>
        <w:t xml:space="preserve"> Araraquara de requerimento padrão, pelo proprietário do imóvel, ou seu representante legal, que desejar ser beneficiado por esta lei complementar, no período de 1º de janeiro a 31 de julho do exercício anterior à concessão da isenção, assim como os documentos necessários e obrigatórios relacionados abaixo: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a) cópia do documento oficial de identificação com foto (RG, CNH, etc.) e CPF, caso necessário, do proprietário, titular ou possuidor do imóvel ou procuração com firma reconhecida, quando for o caso;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b) cópia da matrícula atualizada do imóvel em nome do proprietário requerente;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c) cópia de documento de identificação do cadastro imobiliário no município, constante no carnê de IPTU;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d) declaração padrão do proprietário classificando o percentual de projeção de copa da vegetação arbórea existente na área arborizada dentro da propriedade e o enquadramento da propriedade na classe de percentual de isenção do IPTU requerida, conforme a tabela do </w:t>
      </w:r>
      <w:r>
        <w:rPr>
          <w:rFonts w:ascii="Arial" w:hAnsi="Arial" w:cs="Arial"/>
          <w:sz w:val="24"/>
          <w:szCs w:val="24"/>
        </w:rPr>
        <w:t xml:space="preserve">“caput” do </w:t>
      </w:r>
      <w:bookmarkStart w:id="0" w:name="_GoBack"/>
      <w:bookmarkEnd w:id="0"/>
      <w:r w:rsidRPr="00491C31">
        <w:rPr>
          <w:rFonts w:ascii="Arial" w:hAnsi="Arial" w:cs="Arial"/>
          <w:sz w:val="24"/>
          <w:szCs w:val="24"/>
        </w:rPr>
        <w:t>art. 4º;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e) planta cadastral ou croqui atualizado, identificando a propriedade e seus limites, a reserva legal quando for o caso, a área arborizada e permeável e suas respectivas metragens e porcentagens em relação à área total do imóvel.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III – à fiscalização e aprovação do órgão ambiental municipal;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IV - à confirmação do enquadramento da propriedade na classe de percentual de isenção do IPTU requerida, podendo haver reclassificação pelos técnicos competentes do órgão ambiental municipal;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V - às características e condições de manutenção e conservação da área arborizada e permeável e o funcionamento do sistema fotovoltaico e de aquecimento hidráulico solar;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VI - ao despacho decisório da Secretaria Municipal de Gestão e Finanças, respeitando-se a ordem cronológica de protocolo dos requerimentos de isenção parcial de IPTU.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Parágrafo único. Revogado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 xml:space="preserve">Art. 6º Verificadas as condições estabelecidas nos </w:t>
      </w:r>
      <w:proofErr w:type="spellStart"/>
      <w:r w:rsidRPr="00491C31">
        <w:rPr>
          <w:rFonts w:ascii="Arial" w:hAnsi="Arial" w:cs="Arial"/>
          <w:sz w:val="24"/>
          <w:szCs w:val="24"/>
        </w:rPr>
        <w:t>arts</w:t>
      </w:r>
      <w:proofErr w:type="spellEnd"/>
      <w:r w:rsidRPr="00491C31">
        <w:rPr>
          <w:rFonts w:ascii="Arial" w:hAnsi="Arial" w:cs="Arial"/>
          <w:sz w:val="24"/>
          <w:szCs w:val="24"/>
        </w:rPr>
        <w:t>. 3º a 5º desta lei complementar, o órgão ambiental municipal comunicará, respeitando-se a ordem cronológica de protocolo dos requerimentos, a Coordenadoria Executiva de Administração Tributária da Secretaria Municipal de Gestão e Finanças para que seja processado o benefício pleiteado.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>Art. 7º A isenção concedida por esta lei complementar deve ser requerida anualmente, submetida a todas as condições nela previstas.” (NR)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ab/>
      </w:r>
      <w:r w:rsidRPr="00491C31">
        <w:rPr>
          <w:rFonts w:ascii="Arial" w:hAnsi="Arial" w:cs="Arial"/>
          <w:sz w:val="24"/>
          <w:szCs w:val="24"/>
        </w:rPr>
        <w:tab/>
        <w:t>Art. 2º O requerimento para a obtenção, no exercício de 2019, da isenção parcial do IPTU prevista na Lei Complementar nº 889, de 04 de junho de 2018, poderá ser excepcionalmente protocolizado até a data limite de 21 de outubro de 2018.</w:t>
      </w: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C31" w:rsidRPr="00491C31" w:rsidRDefault="00491C31" w:rsidP="00491C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C31">
        <w:rPr>
          <w:rFonts w:ascii="Arial" w:hAnsi="Arial" w:cs="Arial"/>
          <w:sz w:val="24"/>
          <w:szCs w:val="24"/>
        </w:rPr>
        <w:tab/>
      </w:r>
      <w:r w:rsidRPr="00491C31">
        <w:rPr>
          <w:rFonts w:ascii="Arial" w:hAnsi="Arial" w:cs="Arial"/>
          <w:sz w:val="24"/>
          <w:szCs w:val="24"/>
        </w:rPr>
        <w:tab/>
        <w:t>Art. 3º Esta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31">
          <w:rPr>
            <w:noProof/>
          </w:rPr>
          <w:t>5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60B2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91C31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1510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2018-10-02T14:34:00Z</dcterms:modified>
</cp:coreProperties>
</file>