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1EA" w:rsidRPr="008901EA" w:rsidRDefault="00EB65A5" w:rsidP="00F67AC8">
      <w:pPr>
        <w:autoSpaceDE w:val="0"/>
        <w:autoSpaceDN w:val="0"/>
        <w:spacing w:line="288" w:lineRule="auto"/>
        <w:ind w:right="-1"/>
        <w:jc w:val="center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SUBSTITUTIVO AO </w:t>
      </w:r>
      <w:r w:rsidRPr="008901EA">
        <w:rPr>
          <w:rFonts w:asciiTheme="majorHAnsi" w:eastAsia="Times New Roman" w:hAnsiTheme="majorHAnsi" w:cs="Arial"/>
          <w:b/>
          <w:bCs/>
          <w:szCs w:val="24"/>
          <w:lang w:eastAsia="pt-BR"/>
        </w:rPr>
        <w:t>PROJETO DE LEI COMPLEMENTAR</w:t>
      </w:r>
      <w:r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Nº 016/2018</w:t>
      </w:r>
    </w:p>
    <w:p w:rsidR="00EB65A5" w:rsidRDefault="00EB65A5" w:rsidP="00F67AC8">
      <w:pPr>
        <w:autoSpaceDE w:val="0"/>
        <w:autoSpaceDN w:val="0"/>
        <w:spacing w:line="288" w:lineRule="auto"/>
        <w:ind w:left="5103" w:right="-1"/>
        <w:jc w:val="both"/>
        <w:rPr>
          <w:rFonts w:asciiTheme="majorHAnsi" w:eastAsia="Times New Roman" w:hAnsiTheme="majorHAnsi" w:cs="Arial"/>
          <w:sz w:val="22"/>
          <w:szCs w:val="24"/>
          <w:lang w:eastAsia="pt-BR"/>
        </w:rPr>
      </w:pPr>
    </w:p>
    <w:p w:rsidR="008901EA" w:rsidRPr="008901EA" w:rsidRDefault="004B6883" w:rsidP="00F67AC8">
      <w:pPr>
        <w:autoSpaceDE w:val="0"/>
        <w:autoSpaceDN w:val="0"/>
        <w:spacing w:line="288" w:lineRule="auto"/>
        <w:ind w:left="5103" w:right="-1"/>
        <w:jc w:val="both"/>
        <w:rPr>
          <w:rFonts w:asciiTheme="majorHAnsi" w:eastAsia="Times New Roman" w:hAnsiTheme="majorHAnsi" w:cs="Arial"/>
          <w:sz w:val="22"/>
          <w:szCs w:val="24"/>
          <w:lang w:eastAsia="pt-BR"/>
        </w:rPr>
      </w:pPr>
      <w:r>
        <w:rPr>
          <w:rFonts w:asciiTheme="majorHAnsi" w:eastAsia="Times New Roman" w:hAnsiTheme="majorHAnsi" w:cs="Arial"/>
          <w:sz w:val="22"/>
          <w:szCs w:val="24"/>
          <w:lang w:eastAsia="pt-BR"/>
        </w:rPr>
        <w:t>Introduz, n</w:t>
      </w:r>
      <w:r w:rsidR="008901EA" w:rsidRPr="008901EA">
        <w:rPr>
          <w:rFonts w:asciiTheme="majorHAnsi" w:eastAsia="Times New Roman" w:hAnsiTheme="majorHAnsi" w:cs="Arial"/>
          <w:sz w:val="22"/>
          <w:szCs w:val="24"/>
          <w:lang w:eastAsia="pt-BR"/>
        </w:rPr>
        <w:t xml:space="preserve">a Lei Complementar nº 827, de 10 de </w:t>
      </w:r>
      <w:r>
        <w:rPr>
          <w:rFonts w:asciiTheme="majorHAnsi" w:eastAsia="Times New Roman" w:hAnsiTheme="majorHAnsi" w:cs="Arial"/>
          <w:sz w:val="22"/>
          <w:szCs w:val="24"/>
          <w:lang w:eastAsia="pt-BR"/>
        </w:rPr>
        <w:t>j</w:t>
      </w:r>
      <w:r w:rsidR="008901EA" w:rsidRPr="008901EA">
        <w:rPr>
          <w:rFonts w:asciiTheme="majorHAnsi" w:eastAsia="Times New Roman" w:hAnsiTheme="majorHAnsi" w:cs="Arial"/>
          <w:sz w:val="22"/>
          <w:szCs w:val="24"/>
          <w:lang w:eastAsia="pt-BR"/>
        </w:rPr>
        <w:t>ulho de 2012 (</w:t>
      </w:r>
      <w:r w:rsidR="008901EA" w:rsidRPr="008901EA">
        <w:rPr>
          <w:rFonts w:asciiTheme="majorHAnsi" w:eastAsia="Times New Roman" w:hAnsiTheme="majorHAnsi" w:cs="Arial"/>
          <w:sz w:val="20"/>
          <w:szCs w:val="24"/>
          <w:lang w:eastAsia="pt-BR"/>
        </w:rPr>
        <w:t>Política Municipal de Proteção aos Animais</w:t>
      </w:r>
      <w:r w:rsidR="008901EA" w:rsidRPr="008901EA">
        <w:rPr>
          <w:rFonts w:asciiTheme="majorHAnsi" w:eastAsia="Times New Roman" w:hAnsiTheme="majorHAnsi" w:cs="Arial"/>
          <w:sz w:val="22"/>
          <w:szCs w:val="24"/>
          <w:lang w:eastAsia="pt-BR"/>
        </w:rPr>
        <w:t>)</w:t>
      </w:r>
      <w:r>
        <w:rPr>
          <w:rFonts w:asciiTheme="majorHAnsi" w:eastAsia="Times New Roman" w:hAnsiTheme="majorHAnsi" w:cs="Arial"/>
          <w:sz w:val="22"/>
          <w:szCs w:val="24"/>
          <w:lang w:eastAsia="pt-BR"/>
        </w:rPr>
        <w:t>, medidas relativas ao confinamento de animais e dá outras providências</w:t>
      </w:r>
      <w:r w:rsidR="008901EA" w:rsidRPr="008901EA">
        <w:rPr>
          <w:rFonts w:asciiTheme="majorHAnsi" w:eastAsia="Times New Roman" w:hAnsiTheme="majorHAnsi" w:cs="Arial"/>
          <w:sz w:val="22"/>
          <w:szCs w:val="24"/>
          <w:lang w:eastAsia="pt-BR"/>
        </w:rPr>
        <w:t>.</w:t>
      </w:r>
    </w:p>
    <w:p w:rsidR="008901EA" w:rsidRPr="008901EA" w:rsidRDefault="008901EA" w:rsidP="00F67AC8">
      <w:pPr>
        <w:autoSpaceDE w:val="0"/>
        <w:autoSpaceDN w:val="0"/>
        <w:spacing w:line="288" w:lineRule="auto"/>
        <w:ind w:left="5103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right="-1" w:firstLine="567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</w:r>
      <w:r w:rsidRPr="008901EA">
        <w:rPr>
          <w:rFonts w:asciiTheme="majorHAnsi" w:eastAsia="Times New Roman" w:hAnsiTheme="majorHAnsi" w:cs="Arial"/>
          <w:bCs/>
          <w:szCs w:val="24"/>
          <w:lang w:eastAsia="pt-BR"/>
        </w:rPr>
        <w:t>Art. 1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>º Ao artigo 16, da Lei Complementar n</w:t>
      </w:r>
      <w:r w:rsidRPr="008901EA">
        <w:rPr>
          <w:rFonts w:asciiTheme="majorHAnsi" w:eastAsia="Times New Roman" w:hAnsiTheme="majorHAnsi" w:cs="Arial"/>
          <w:b/>
          <w:szCs w:val="24"/>
          <w:lang w:eastAsia="pt-BR"/>
        </w:rPr>
        <w:t>º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827, de 10 de </w:t>
      </w:r>
      <w:r w:rsidR="004B6883">
        <w:rPr>
          <w:rFonts w:asciiTheme="majorHAnsi" w:eastAsia="Times New Roman" w:hAnsiTheme="majorHAnsi" w:cs="Arial"/>
          <w:szCs w:val="24"/>
          <w:lang w:eastAsia="pt-BR"/>
        </w:rPr>
        <w:t>j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>ulho de 2012 (Política Municipal de Proteção aos Animais), fica acrescentado o inciso</w:t>
      </w:r>
      <w:r w:rsidR="004B6883">
        <w:rPr>
          <w:rFonts w:asciiTheme="majorHAnsi" w:eastAsia="Times New Roman" w:hAnsiTheme="majorHAnsi" w:cs="Arial"/>
          <w:szCs w:val="24"/>
          <w:lang w:eastAsia="pt-BR"/>
        </w:rPr>
        <w:t xml:space="preserve"> IX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: 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  <w:t>“</w:t>
      </w:r>
      <w:r w:rsidRPr="008901EA">
        <w:rPr>
          <w:rFonts w:asciiTheme="majorHAnsi" w:eastAsia="Times New Roman" w:hAnsiTheme="majorHAnsi" w:cs="Arial"/>
          <w:bCs/>
          <w:szCs w:val="24"/>
          <w:lang w:eastAsia="pt-BR"/>
        </w:rPr>
        <w:t xml:space="preserve">Art.16. 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</w:t>
      </w:r>
      <w:r w:rsidR="004B6883" w:rsidRPr="004B6883">
        <w:rPr>
          <w:rFonts w:asciiTheme="majorHAnsi" w:eastAsia="Times New Roman" w:hAnsiTheme="majorHAnsi" w:cs="Arial"/>
          <w:szCs w:val="24"/>
          <w:lang w:eastAsia="pt-BR"/>
        </w:rPr>
        <w:t>[...]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</w:r>
      <w:r w:rsidR="004B6883" w:rsidRPr="004B6883">
        <w:rPr>
          <w:rFonts w:asciiTheme="majorHAnsi" w:eastAsia="Times New Roman" w:hAnsiTheme="majorHAnsi" w:cs="Arial"/>
          <w:szCs w:val="24"/>
          <w:lang w:eastAsia="pt-BR"/>
        </w:rPr>
        <w:t>I</w:t>
      </w:r>
      <w:r w:rsidR="004B6883">
        <w:rPr>
          <w:rFonts w:asciiTheme="majorHAnsi" w:eastAsia="Times New Roman" w:hAnsiTheme="majorHAnsi" w:cs="Arial"/>
          <w:szCs w:val="24"/>
          <w:lang w:eastAsia="pt-BR"/>
        </w:rPr>
        <w:t xml:space="preserve"> a VIII – [...]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>IX. Confinamento</w:t>
      </w:r>
      <w:r w:rsidR="004B6883">
        <w:rPr>
          <w:rFonts w:asciiTheme="majorHAnsi" w:eastAsia="Times New Roman" w:hAnsiTheme="majorHAnsi" w:cs="Arial"/>
          <w:szCs w:val="24"/>
          <w:lang w:eastAsia="pt-BR"/>
        </w:rPr>
        <w:t xml:space="preserve">, acorrentamento 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>ou alojamento inadequado.</w:t>
      </w:r>
      <w:r w:rsidR="004B6883">
        <w:rPr>
          <w:rFonts w:asciiTheme="majorHAnsi" w:eastAsia="Times New Roman" w:hAnsiTheme="majorHAnsi" w:cs="Arial"/>
          <w:szCs w:val="24"/>
          <w:lang w:eastAsia="pt-BR"/>
        </w:rPr>
        <w:t xml:space="preserve"> (</w:t>
      </w:r>
      <w:proofErr w:type="gramStart"/>
      <w:r w:rsidR="004B6883">
        <w:rPr>
          <w:rFonts w:asciiTheme="majorHAnsi" w:eastAsia="Times New Roman" w:hAnsiTheme="majorHAnsi" w:cs="Arial"/>
          <w:szCs w:val="24"/>
          <w:lang w:eastAsia="pt-BR"/>
        </w:rPr>
        <w:t>NR)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>”</w:t>
      </w:r>
      <w:proofErr w:type="gramEnd"/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right="-1" w:firstLine="567"/>
        <w:jc w:val="both"/>
        <w:rPr>
          <w:rFonts w:asciiTheme="majorHAnsi" w:eastAsia="Times New Roman" w:hAnsiTheme="majorHAnsi" w:cs="Arial"/>
          <w:b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bCs/>
          <w:szCs w:val="24"/>
          <w:lang w:eastAsia="pt-BR"/>
        </w:rPr>
        <w:t>Art. 2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>º</w:t>
      </w:r>
      <w:r w:rsidRPr="008901EA">
        <w:rPr>
          <w:rFonts w:asciiTheme="majorHAnsi" w:eastAsia="Times New Roman" w:hAnsiTheme="majorHAnsi" w:cs="Arial"/>
          <w:b/>
          <w:szCs w:val="24"/>
          <w:lang w:eastAsia="pt-BR"/>
        </w:rPr>
        <w:t xml:space="preserve"> 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>Fica acrescentado o art. 16-A, à Lei Complementar n</w:t>
      </w:r>
      <w:r w:rsidR="00EB65A5">
        <w:rPr>
          <w:rFonts w:asciiTheme="majorHAnsi" w:eastAsia="Times New Roman" w:hAnsiTheme="majorHAnsi" w:cs="Arial"/>
          <w:szCs w:val="24"/>
          <w:lang w:eastAsia="pt-BR"/>
        </w:rPr>
        <w:t xml:space="preserve">º827, de 10 de </w:t>
      </w:r>
      <w:proofErr w:type="gramStart"/>
      <w:r w:rsidR="00EB65A5">
        <w:rPr>
          <w:rFonts w:asciiTheme="majorHAnsi" w:eastAsia="Times New Roman" w:hAnsiTheme="majorHAnsi" w:cs="Arial"/>
          <w:szCs w:val="24"/>
          <w:lang w:eastAsia="pt-BR"/>
        </w:rPr>
        <w:t>J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>ulho</w:t>
      </w:r>
      <w:proofErr w:type="gramEnd"/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de 2012, com a seguinte redação: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 xml:space="preserve"> “Art. 16-A Para efeitos do inciso IX, do artigo 16 desta Lei, entende-se como </w:t>
      </w:r>
      <w:r w:rsidR="00EB65A5">
        <w:rPr>
          <w:rFonts w:asciiTheme="majorHAnsi" w:eastAsia="Times New Roman" w:hAnsiTheme="majorHAnsi" w:cs="Arial"/>
          <w:szCs w:val="24"/>
          <w:lang w:eastAsia="pt-BR"/>
        </w:rPr>
        <w:t>‘confinamento, acorrentamento O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>u alojamento inadequado</w:t>
      </w:r>
      <w:r w:rsidR="00EB65A5">
        <w:rPr>
          <w:rFonts w:asciiTheme="majorHAnsi" w:eastAsia="Times New Roman" w:hAnsiTheme="majorHAnsi" w:cs="Arial"/>
          <w:szCs w:val="24"/>
          <w:lang w:eastAsia="pt-BR"/>
        </w:rPr>
        <w:t>’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qualquer meio de restrição à liberdade de locomoção dos animais domésticos.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>§1º A restrição à liberdade de locomoção ocorrerá por qualquer meio de aprisionamento – permanente ou rotineiro – do animal a um objeto estacionário por períodos contínuos.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>§2º Nos casos de impossibilidade temporária por falta de outro meio de contenção, o animal será preso a uma corrente do tipo “</w:t>
      </w:r>
      <w:proofErr w:type="spellStart"/>
      <w:r w:rsidRPr="008901EA">
        <w:rPr>
          <w:rFonts w:asciiTheme="majorHAnsi" w:eastAsia="Times New Roman" w:hAnsiTheme="majorHAnsi" w:cs="Arial"/>
          <w:szCs w:val="24"/>
          <w:lang w:eastAsia="pt-BR"/>
        </w:rPr>
        <w:t>vai-vem</w:t>
      </w:r>
      <w:proofErr w:type="spellEnd"/>
      <w:r w:rsidRPr="008901EA">
        <w:rPr>
          <w:rFonts w:asciiTheme="majorHAnsi" w:eastAsia="Times New Roman" w:hAnsiTheme="majorHAnsi" w:cs="Arial"/>
          <w:szCs w:val="24"/>
          <w:lang w:eastAsia="pt-BR"/>
        </w:rPr>
        <w:t>” com no mínimo oito metros de comprimento.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>§3º A liberdade de locomoção do animal deverá ser oferecida de modo a não causar quaisquer ferimentos, dores ou angústias, observando-se: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 xml:space="preserve">I – </w:t>
      </w:r>
      <w:proofErr w:type="gramStart"/>
      <w:r w:rsidRPr="008901EA">
        <w:rPr>
          <w:rFonts w:asciiTheme="majorHAnsi" w:eastAsia="Times New Roman" w:hAnsiTheme="majorHAnsi" w:cs="Arial"/>
          <w:szCs w:val="24"/>
          <w:lang w:eastAsia="pt-BR"/>
        </w:rPr>
        <w:t>a</w:t>
      </w:r>
      <w:proofErr w:type="gramEnd"/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corrente utilizada não poderá pesar mais de 10% do peso do animal;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 xml:space="preserve">II – </w:t>
      </w:r>
      <w:proofErr w:type="gramStart"/>
      <w:r w:rsidRPr="008901EA">
        <w:rPr>
          <w:rFonts w:asciiTheme="majorHAnsi" w:eastAsia="Times New Roman" w:hAnsiTheme="majorHAnsi" w:cs="Arial"/>
          <w:szCs w:val="24"/>
          <w:lang w:eastAsia="pt-BR"/>
        </w:rPr>
        <w:t>ficará</w:t>
      </w:r>
      <w:proofErr w:type="gramEnd"/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vedado o uso de cadeado para fechamento da coleira;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>§4º É proibido o confinamento de animais em alojamentos e/ou locais que não respeitem as condições adequadas ao bem-estar do animal, observando-se: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 xml:space="preserve">I – </w:t>
      </w:r>
      <w:proofErr w:type="gramStart"/>
      <w:r w:rsidRPr="008901EA">
        <w:rPr>
          <w:rFonts w:asciiTheme="majorHAnsi" w:eastAsia="Times New Roman" w:hAnsiTheme="majorHAnsi" w:cs="Arial"/>
          <w:szCs w:val="24"/>
          <w:lang w:eastAsia="pt-BR"/>
        </w:rPr>
        <w:t>dimensões</w:t>
      </w:r>
      <w:proofErr w:type="gramEnd"/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apropriadas à espécie, necessidade e tamanho do animal;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 xml:space="preserve">II – </w:t>
      </w:r>
      <w:proofErr w:type="gramStart"/>
      <w:r w:rsidRPr="008901EA">
        <w:rPr>
          <w:rFonts w:asciiTheme="majorHAnsi" w:eastAsia="Times New Roman" w:hAnsiTheme="majorHAnsi" w:cs="Arial"/>
          <w:szCs w:val="24"/>
          <w:lang w:eastAsia="pt-BR"/>
        </w:rPr>
        <w:t>espaço</w:t>
      </w:r>
      <w:proofErr w:type="gramEnd"/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suficiente para ampla movimentação;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>III – incidência de sol, luz, sombra e ventilação: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 xml:space="preserve">V – </w:t>
      </w:r>
      <w:proofErr w:type="gramStart"/>
      <w:r w:rsidRPr="008901EA">
        <w:rPr>
          <w:rFonts w:asciiTheme="majorHAnsi" w:eastAsia="Times New Roman" w:hAnsiTheme="majorHAnsi" w:cs="Arial"/>
          <w:szCs w:val="24"/>
          <w:lang w:eastAsia="pt-BR"/>
        </w:rPr>
        <w:t>fornecimento</w:t>
      </w:r>
      <w:proofErr w:type="gramEnd"/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de alimento e água limpa, além de contínuo atendimento de suas necessidades, incluindo atendimento veterinário;</w:t>
      </w:r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ab/>
        <w:t xml:space="preserve">VI – </w:t>
      </w:r>
      <w:proofErr w:type="gramStart"/>
      <w:r w:rsidRPr="008901EA">
        <w:rPr>
          <w:rFonts w:asciiTheme="majorHAnsi" w:eastAsia="Times New Roman" w:hAnsiTheme="majorHAnsi" w:cs="Arial"/>
          <w:szCs w:val="24"/>
          <w:lang w:eastAsia="pt-BR"/>
        </w:rPr>
        <w:t>asseio e conservação</w:t>
      </w:r>
      <w:proofErr w:type="gramEnd"/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 de higiene do alojamento e do próprio animal;</w:t>
      </w:r>
    </w:p>
    <w:p w:rsidR="00EB65A5" w:rsidRDefault="008901EA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§5º Os animais encontrados nas condições anteriormente previstas de </w:t>
      </w:r>
      <w:r w:rsidR="00EB65A5">
        <w:rPr>
          <w:rFonts w:asciiTheme="majorHAnsi" w:eastAsia="Times New Roman" w:hAnsiTheme="majorHAnsi" w:cs="Arial"/>
          <w:szCs w:val="24"/>
          <w:lang w:eastAsia="pt-BR"/>
        </w:rPr>
        <w:t xml:space="preserve">confinamento, acorrentamento 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ou alojamento inadequado devem ser resgatados e encaminhados para adoção. </w:t>
      </w:r>
    </w:p>
    <w:p w:rsidR="008901EA" w:rsidRPr="008901EA" w:rsidRDefault="00EB65A5" w:rsidP="00F67AC8">
      <w:pPr>
        <w:autoSpaceDE w:val="0"/>
        <w:autoSpaceDN w:val="0"/>
        <w:spacing w:before="120" w:after="120" w:line="240" w:lineRule="auto"/>
        <w:ind w:left="567" w:right="-1"/>
        <w:jc w:val="both"/>
        <w:rPr>
          <w:rFonts w:asciiTheme="majorHAnsi" w:eastAsia="Times New Roman" w:hAnsiTheme="majorHAnsi" w:cs="Arial"/>
          <w:szCs w:val="24"/>
          <w:lang w:eastAsia="pt-BR"/>
        </w:rPr>
      </w:pPr>
      <w:r>
        <w:rPr>
          <w:rFonts w:asciiTheme="majorHAnsi" w:eastAsia="Times New Roman" w:hAnsiTheme="majorHAnsi" w:cs="Arial"/>
          <w:szCs w:val="24"/>
          <w:lang w:eastAsia="pt-BR"/>
        </w:rPr>
        <w:lastRenderedPageBreak/>
        <w:t>§ 6º O descumprimento ao disposto neste artigo constitui infração gravíssima, nos termos do art. 25, II, desta Lei Complementar</w:t>
      </w:r>
      <w:r w:rsidR="008901EA" w:rsidRPr="008901EA">
        <w:rPr>
          <w:rFonts w:asciiTheme="majorHAnsi" w:eastAsia="Times New Roman" w:hAnsiTheme="majorHAnsi" w:cs="Arial"/>
          <w:szCs w:val="24"/>
          <w:lang w:eastAsia="pt-BR"/>
        </w:rPr>
        <w:t xml:space="preserve">, acrescida de 100% </w:t>
      </w:r>
      <w:r>
        <w:rPr>
          <w:rFonts w:asciiTheme="majorHAnsi" w:eastAsia="Times New Roman" w:hAnsiTheme="majorHAnsi" w:cs="Arial"/>
          <w:szCs w:val="24"/>
          <w:lang w:eastAsia="pt-BR"/>
        </w:rPr>
        <w:t xml:space="preserve">a cada </w:t>
      </w:r>
      <w:r w:rsidR="008901EA" w:rsidRPr="008901EA">
        <w:rPr>
          <w:rFonts w:asciiTheme="majorHAnsi" w:eastAsia="Times New Roman" w:hAnsiTheme="majorHAnsi" w:cs="Arial"/>
          <w:szCs w:val="24"/>
          <w:lang w:eastAsia="pt-BR"/>
        </w:rPr>
        <w:t>reincidência.</w:t>
      </w:r>
      <w:r>
        <w:rPr>
          <w:rFonts w:asciiTheme="majorHAnsi" w:eastAsia="Times New Roman" w:hAnsiTheme="majorHAnsi" w:cs="Arial"/>
          <w:szCs w:val="24"/>
          <w:lang w:eastAsia="pt-BR"/>
        </w:rPr>
        <w:t xml:space="preserve"> (</w:t>
      </w:r>
      <w:proofErr w:type="gramStart"/>
      <w:r>
        <w:rPr>
          <w:rFonts w:asciiTheme="majorHAnsi" w:eastAsia="Times New Roman" w:hAnsiTheme="majorHAnsi" w:cs="Arial"/>
          <w:szCs w:val="24"/>
          <w:lang w:eastAsia="pt-BR"/>
        </w:rPr>
        <w:t>NR)”</w:t>
      </w:r>
      <w:proofErr w:type="gramEnd"/>
    </w:p>
    <w:p w:rsidR="008901EA" w:rsidRPr="008901EA" w:rsidRDefault="008901EA" w:rsidP="00F67AC8">
      <w:pPr>
        <w:autoSpaceDE w:val="0"/>
        <w:autoSpaceDN w:val="0"/>
        <w:spacing w:before="120" w:after="120" w:line="240" w:lineRule="auto"/>
        <w:ind w:right="-1" w:firstLine="567"/>
        <w:jc w:val="both"/>
        <w:rPr>
          <w:rFonts w:asciiTheme="majorHAnsi" w:eastAsia="Times New Roman" w:hAnsiTheme="majorHAnsi" w:cs="Arial"/>
          <w:szCs w:val="24"/>
          <w:lang w:eastAsia="pt-BR"/>
        </w:rPr>
      </w:pPr>
      <w:bookmarkStart w:id="0" w:name="_GoBack"/>
      <w:bookmarkEnd w:id="0"/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Art. 3º </w:t>
      </w:r>
      <w:r w:rsidR="00EB65A5">
        <w:rPr>
          <w:rFonts w:asciiTheme="majorHAnsi" w:eastAsia="Times New Roman" w:hAnsiTheme="majorHAnsi" w:cs="Arial"/>
          <w:szCs w:val="24"/>
          <w:lang w:eastAsia="pt-BR"/>
        </w:rPr>
        <w:t>Esta L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ei </w:t>
      </w:r>
      <w:r w:rsidR="00EB65A5">
        <w:rPr>
          <w:rFonts w:asciiTheme="majorHAnsi" w:eastAsia="Times New Roman" w:hAnsiTheme="majorHAnsi" w:cs="Arial"/>
          <w:szCs w:val="24"/>
          <w:lang w:eastAsia="pt-BR"/>
        </w:rPr>
        <w:t>C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omplementar entra em vigor na data de sua publicação, </w:t>
      </w:r>
      <w:r w:rsidR="00EB65A5">
        <w:rPr>
          <w:rFonts w:asciiTheme="majorHAnsi" w:eastAsia="Times New Roman" w:hAnsiTheme="majorHAnsi" w:cs="Arial"/>
          <w:szCs w:val="24"/>
          <w:lang w:eastAsia="pt-BR"/>
        </w:rPr>
        <w:t>produzindo efeitos a partir de 90 (noventa) dias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>.</w:t>
      </w:r>
    </w:p>
    <w:p w:rsidR="008901EA" w:rsidRPr="008901EA" w:rsidRDefault="008901EA" w:rsidP="00F67AC8">
      <w:pPr>
        <w:autoSpaceDE w:val="0"/>
        <w:autoSpaceDN w:val="0"/>
        <w:spacing w:line="288" w:lineRule="auto"/>
        <w:ind w:left="567" w:right="-1"/>
        <w:jc w:val="center"/>
        <w:rPr>
          <w:rFonts w:asciiTheme="majorHAnsi" w:eastAsia="Times New Roman" w:hAnsiTheme="majorHAnsi" w:cs="Arial"/>
          <w:szCs w:val="24"/>
          <w:lang w:eastAsia="pt-BR"/>
        </w:rPr>
      </w:pP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Sala de </w:t>
      </w:r>
      <w:r w:rsidR="00EB65A5">
        <w:rPr>
          <w:rFonts w:asciiTheme="majorHAnsi" w:eastAsia="Times New Roman" w:hAnsiTheme="majorHAnsi" w:cs="Arial"/>
          <w:szCs w:val="24"/>
          <w:lang w:eastAsia="pt-BR"/>
        </w:rPr>
        <w:t>reuniões das comissões</w:t>
      </w:r>
      <w:r w:rsidRPr="008901EA">
        <w:rPr>
          <w:rFonts w:asciiTheme="majorHAnsi" w:eastAsia="Times New Roman" w:hAnsiTheme="majorHAnsi" w:cs="Arial"/>
          <w:szCs w:val="24"/>
          <w:lang w:eastAsia="pt-BR"/>
        </w:rPr>
        <w:t xml:space="preserve">, </w:t>
      </w:r>
      <w:r w:rsidR="00EB65A5">
        <w:rPr>
          <w:rFonts w:asciiTheme="majorHAnsi" w:eastAsia="Times New Roman" w:hAnsiTheme="majorHAnsi" w:cs="Arial"/>
          <w:szCs w:val="24"/>
          <w:lang w:eastAsia="pt-BR"/>
        </w:rPr>
        <w:t>___________________________</w:t>
      </w:r>
    </w:p>
    <w:p w:rsidR="008901EA" w:rsidRPr="008901EA" w:rsidRDefault="008901EA" w:rsidP="00F67AC8">
      <w:pPr>
        <w:autoSpaceDE w:val="0"/>
        <w:autoSpaceDN w:val="0"/>
        <w:spacing w:line="288" w:lineRule="auto"/>
        <w:ind w:left="567" w:right="-1"/>
        <w:jc w:val="center"/>
        <w:rPr>
          <w:rFonts w:asciiTheme="majorHAnsi" w:eastAsia="Times New Roman" w:hAnsiTheme="majorHAnsi" w:cs="Arial"/>
          <w:b/>
          <w:bCs/>
          <w:szCs w:val="24"/>
          <w:lang w:eastAsia="pt-BR"/>
        </w:rPr>
      </w:pPr>
    </w:p>
    <w:p w:rsidR="008901EA" w:rsidRPr="008901EA" w:rsidRDefault="008901EA" w:rsidP="00F67AC8">
      <w:pPr>
        <w:autoSpaceDE w:val="0"/>
        <w:autoSpaceDN w:val="0"/>
        <w:spacing w:line="288" w:lineRule="auto"/>
        <w:ind w:left="567" w:right="-1"/>
        <w:jc w:val="center"/>
        <w:rPr>
          <w:rFonts w:asciiTheme="majorHAnsi" w:eastAsia="Times New Roman" w:hAnsiTheme="majorHAnsi" w:cs="Arial"/>
          <w:b/>
          <w:bCs/>
          <w:szCs w:val="24"/>
          <w:lang w:eastAsia="pt-BR"/>
        </w:rPr>
      </w:pPr>
    </w:p>
    <w:p w:rsidR="00EB65A5" w:rsidRPr="00EB65A5" w:rsidRDefault="00EB65A5" w:rsidP="00F67AC8">
      <w:pPr>
        <w:autoSpaceDE w:val="0"/>
        <w:autoSpaceDN w:val="0"/>
        <w:spacing w:line="240" w:lineRule="auto"/>
        <w:ind w:left="34" w:right="-1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EB65A5">
        <w:rPr>
          <w:rFonts w:asciiTheme="majorHAnsi" w:eastAsia="Times New Roman" w:hAnsiTheme="majorHAnsi" w:cs="Arial"/>
          <w:bCs/>
          <w:szCs w:val="24"/>
          <w:lang w:eastAsia="pt-BR"/>
        </w:rPr>
        <w:t>______________________________</w:t>
      </w:r>
    </w:p>
    <w:p w:rsidR="00EB65A5" w:rsidRPr="00EB65A5" w:rsidRDefault="00EB65A5" w:rsidP="00F67AC8">
      <w:pPr>
        <w:autoSpaceDE w:val="0"/>
        <w:autoSpaceDN w:val="0"/>
        <w:spacing w:line="240" w:lineRule="auto"/>
        <w:ind w:left="34" w:right="-1"/>
        <w:jc w:val="center"/>
        <w:rPr>
          <w:rFonts w:asciiTheme="majorHAnsi" w:eastAsia="Times New Roman" w:hAnsiTheme="majorHAnsi" w:cs="Arial"/>
          <w:b/>
          <w:bCs/>
          <w:szCs w:val="24"/>
          <w:lang w:eastAsia="pt-BR"/>
        </w:rPr>
      </w:pPr>
      <w:r w:rsidRPr="00EB65A5">
        <w:rPr>
          <w:rFonts w:asciiTheme="majorHAnsi" w:eastAsia="Times New Roman" w:hAnsiTheme="majorHAnsi" w:cs="Arial"/>
          <w:b/>
          <w:bCs/>
          <w:szCs w:val="24"/>
          <w:lang w:eastAsia="pt-BR"/>
        </w:rPr>
        <w:t>José Carlos Porsani</w:t>
      </w:r>
    </w:p>
    <w:p w:rsidR="00EB65A5" w:rsidRPr="00EB65A5" w:rsidRDefault="00EB65A5" w:rsidP="00F67AC8">
      <w:pPr>
        <w:autoSpaceDE w:val="0"/>
        <w:autoSpaceDN w:val="0"/>
        <w:spacing w:line="240" w:lineRule="auto"/>
        <w:ind w:left="34" w:right="-1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EB65A5">
        <w:rPr>
          <w:rFonts w:asciiTheme="majorHAnsi" w:eastAsia="Times New Roman" w:hAnsiTheme="majorHAnsi" w:cs="Arial"/>
          <w:b/>
          <w:bCs/>
          <w:szCs w:val="24"/>
          <w:lang w:eastAsia="pt-BR"/>
        </w:rPr>
        <w:t>Presidente da CJLR</w:t>
      </w:r>
    </w:p>
    <w:p w:rsidR="00EB65A5" w:rsidRPr="00EB65A5" w:rsidRDefault="00EB65A5" w:rsidP="00F67AC8">
      <w:pPr>
        <w:autoSpaceDE w:val="0"/>
        <w:autoSpaceDN w:val="0"/>
        <w:spacing w:line="240" w:lineRule="auto"/>
        <w:ind w:left="34" w:right="-1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EB65A5" w:rsidRPr="00EB65A5" w:rsidRDefault="00EB65A5" w:rsidP="00F67AC8">
      <w:pPr>
        <w:autoSpaceDE w:val="0"/>
        <w:autoSpaceDN w:val="0"/>
        <w:spacing w:line="240" w:lineRule="auto"/>
        <w:ind w:left="34" w:right="-1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</w:p>
    <w:p w:rsidR="00EB65A5" w:rsidRPr="00EB65A5" w:rsidRDefault="00EB65A5" w:rsidP="00F67AC8">
      <w:pPr>
        <w:autoSpaceDE w:val="0"/>
        <w:autoSpaceDN w:val="0"/>
        <w:spacing w:line="240" w:lineRule="auto"/>
        <w:ind w:left="34" w:right="-1"/>
        <w:jc w:val="center"/>
        <w:rPr>
          <w:rFonts w:asciiTheme="majorHAnsi" w:eastAsia="Times New Roman" w:hAnsiTheme="majorHAnsi" w:cs="Arial"/>
          <w:bCs/>
          <w:szCs w:val="24"/>
          <w:lang w:eastAsia="pt-BR"/>
        </w:rPr>
      </w:pPr>
      <w:r w:rsidRPr="00EB65A5">
        <w:rPr>
          <w:rFonts w:asciiTheme="majorHAnsi" w:eastAsia="Times New Roman" w:hAnsiTheme="majorHAnsi" w:cs="Arial"/>
          <w:bCs/>
          <w:szCs w:val="24"/>
          <w:lang w:eastAsia="pt-BR"/>
        </w:rPr>
        <w:t>______________________________                                              ______________________________</w:t>
      </w:r>
    </w:p>
    <w:p w:rsidR="00EB65A5" w:rsidRDefault="00EB65A5" w:rsidP="00F67AC8">
      <w:pPr>
        <w:autoSpaceDE w:val="0"/>
        <w:autoSpaceDN w:val="0"/>
        <w:spacing w:line="240" w:lineRule="auto"/>
        <w:ind w:left="34" w:right="-1"/>
        <w:jc w:val="both"/>
        <w:rPr>
          <w:rFonts w:asciiTheme="majorHAnsi" w:eastAsia="Times New Roman" w:hAnsiTheme="majorHAnsi" w:cs="Arial"/>
          <w:b/>
          <w:bCs/>
          <w:szCs w:val="24"/>
          <w:lang w:eastAsia="pt-BR"/>
        </w:rPr>
      </w:pPr>
      <w:r w:rsidRPr="00EB65A5"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                  Cabo Magal Verri</w:t>
      </w:r>
      <w:r w:rsidRPr="00EB65A5">
        <w:rPr>
          <w:rFonts w:asciiTheme="majorHAnsi" w:eastAsia="Times New Roman" w:hAnsiTheme="majorHAnsi" w:cs="Arial"/>
          <w:b/>
          <w:bCs/>
          <w:szCs w:val="24"/>
          <w:lang w:eastAsia="pt-BR"/>
        </w:rPr>
        <w:tab/>
        <w:t xml:space="preserve">                                                       Thainara Faria</w:t>
      </w:r>
    </w:p>
    <w:p w:rsidR="00EB65A5" w:rsidRPr="00EB65A5" w:rsidRDefault="00EB65A5" w:rsidP="00F67AC8">
      <w:pPr>
        <w:autoSpaceDE w:val="0"/>
        <w:autoSpaceDN w:val="0"/>
        <w:spacing w:line="240" w:lineRule="auto"/>
        <w:ind w:left="34" w:right="-1"/>
        <w:jc w:val="both"/>
        <w:rPr>
          <w:rFonts w:asciiTheme="majorHAnsi" w:eastAsia="Times New Roman" w:hAnsiTheme="majorHAnsi" w:cs="Arial"/>
          <w:b/>
          <w:bCs/>
          <w:szCs w:val="24"/>
          <w:lang w:eastAsia="pt-BR"/>
        </w:rPr>
      </w:pPr>
      <w:r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                   Membro da CJLR</w:t>
      </w:r>
      <w:r w:rsidRPr="00EB65A5"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</w:t>
      </w:r>
      <w:r>
        <w:rPr>
          <w:rFonts w:asciiTheme="majorHAnsi" w:eastAsia="Times New Roman" w:hAnsiTheme="majorHAnsi" w:cs="Arial"/>
          <w:b/>
          <w:bCs/>
          <w:szCs w:val="24"/>
          <w:lang w:eastAsia="pt-BR"/>
        </w:rPr>
        <w:t xml:space="preserve">                                                                Membro da CJLR</w:t>
      </w:r>
    </w:p>
    <w:p w:rsidR="00EB65A5" w:rsidRPr="00EB65A5" w:rsidRDefault="00EB65A5" w:rsidP="00F67AC8">
      <w:pPr>
        <w:autoSpaceDE w:val="0"/>
        <w:autoSpaceDN w:val="0"/>
        <w:spacing w:line="240" w:lineRule="auto"/>
        <w:ind w:left="34" w:right="-1"/>
        <w:jc w:val="both"/>
        <w:rPr>
          <w:rFonts w:asciiTheme="majorHAnsi" w:eastAsia="Times New Roman" w:hAnsiTheme="majorHAnsi" w:cs="Arial"/>
          <w:b/>
          <w:bCs/>
          <w:szCs w:val="24"/>
          <w:lang w:eastAsia="pt-BR"/>
        </w:rPr>
      </w:pPr>
    </w:p>
    <w:p w:rsidR="008901EA" w:rsidRPr="008901EA" w:rsidRDefault="008901EA" w:rsidP="00F67AC8">
      <w:pPr>
        <w:autoSpaceDE w:val="0"/>
        <w:autoSpaceDN w:val="0"/>
        <w:spacing w:line="288" w:lineRule="auto"/>
        <w:ind w:left="567" w:right="-1"/>
        <w:jc w:val="center"/>
        <w:rPr>
          <w:rFonts w:asciiTheme="majorHAnsi" w:eastAsia="Times New Roman" w:hAnsiTheme="majorHAnsi" w:cs="Arial"/>
          <w:szCs w:val="24"/>
          <w:lang w:eastAsia="pt-BR"/>
        </w:rPr>
      </w:pPr>
    </w:p>
    <w:sectPr w:rsidR="008901EA" w:rsidRPr="008901EA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9B0" w:rsidRDefault="009039B0" w:rsidP="00126850">
      <w:pPr>
        <w:spacing w:line="240" w:lineRule="auto"/>
      </w:pPr>
      <w:r>
        <w:separator/>
      </w:r>
    </w:p>
  </w:endnote>
  <w:endnote w:type="continuationSeparator" w:id="0">
    <w:p w:rsidR="009039B0" w:rsidRDefault="009039B0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8901EA" w:rsidRDefault="001E186C" w:rsidP="001E186C">
    <w:pPr>
      <w:pStyle w:val="Rodap"/>
      <w:jc w:val="center"/>
      <w:rPr>
        <w:rFonts w:ascii="Cambria" w:hAnsi="Cambria"/>
        <w:b/>
        <w:szCs w:val="24"/>
      </w:rPr>
    </w:pPr>
    <w:r w:rsidRPr="008901EA">
      <w:rPr>
        <w:rFonts w:ascii="Cambria" w:hAnsi="Cambria"/>
        <w:b/>
        <w:szCs w:val="24"/>
      </w:rPr>
      <w:t>_________________________________________________________________________________</w:t>
    </w:r>
  </w:p>
  <w:p w:rsidR="001E186C" w:rsidRPr="008901EA" w:rsidRDefault="001E186C" w:rsidP="001E186C">
    <w:pPr>
      <w:pStyle w:val="Rodap"/>
      <w:jc w:val="center"/>
      <w:rPr>
        <w:rFonts w:ascii="Cambria" w:hAnsi="Cambria"/>
        <w:sz w:val="20"/>
        <w:szCs w:val="20"/>
      </w:rPr>
    </w:pPr>
    <w:r w:rsidRPr="008901EA">
      <w:rPr>
        <w:rFonts w:ascii="Cambria" w:hAnsi="Cambria"/>
        <w:sz w:val="20"/>
        <w:szCs w:val="20"/>
      </w:rPr>
      <w:t>Rua São Bento, 887, Centro, Araraquara - SP, CEP 14801-300</w:t>
    </w:r>
  </w:p>
  <w:p w:rsidR="001E186C" w:rsidRPr="008901EA" w:rsidRDefault="001E186C" w:rsidP="001E186C">
    <w:pPr>
      <w:pStyle w:val="Rodap"/>
      <w:jc w:val="center"/>
      <w:rPr>
        <w:rFonts w:ascii="Cambria" w:hAnsi="Cambria"/>
        <w:sz w:val="20"/>
        <w:szCs w:val="20"/>
      </w:rPr>
    </w:pPr>
    <w:r w:rsidRPr="008901EA">
      <w:rPr>
        <w:rFonts w:ascii="Cambria" w:hAnsi="Cambria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9B0" w:rsidRDefault="009039B0" w:rsidP="00126850">
      <w:pPr>
        <w:spacing w:line="240" w:lineRule="auto"/>
      </w:pPr>
      <w:r>
        <w:separator/>
      </w:r>
    </w:p>
  </w:footnote>
  <w:footnote w:type="continuationSeparator" w:id="0">
    <w:p w:rsidR="009039B0" w:rsidRDefault="009039B0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 w:rsidRPr="008901EA">
      <w:rPr>
        <w:noProof/>
        <w:color w:val="4F81BD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8901EA">
      <w:rPr>
        <w:rFonts w:ascii="Cambria" w:hAnsi="Cambria"/>
        <w:smallCaps/>
        <w:color w:val="548DD4"/>
        <w:sz w:val="50"/>
      </w:rPr>
      <w:t>Câmara Municipal de Araraquara</w:t>
    </w:r>
  </w:p>
  <w:p w:rsidR="002F5765" w:rsidRPr="001E186C" w:rsidRDefault="008901EA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6883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01EA"/>
    <w:rsid w:val="0089403A"/>
    <w:rsid w:val="008A3CA1"/>
    <w:rsid w:val="008B56CB"/>
    <w:rsid w:val="008B7176"/>
    <w:rsid w:val="008C5E36"/>
    <w:rsid w:val="008D0FE4"/>
    <w:rsid w:val="008E32AE"/>
    <w:rsid w:val="00901D0B"/>
    <w:rsid w:val="009039B0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B65A5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67AC8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99"/>
    <w:rsid w:val="008901EA"/>
    <w:pPr>
      <w:autoSpaceDE w:val="0"/>
      <w:autoSpaceDN w:val="0"/>
      <w:spacing w:line="240" w:lineRule="auto"/>
    </w:pPr>
    <w:rPr>
      <w:rFonts w:eastAsia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24597-CD18-414C-B093-B56BACD6A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452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2018-09-03T18:44:00Z</cp:lastPrinted>
  <dcterms:created xsi:type="dcterms:W3CDTF">2018-09-03T18:11:00Z</dcterms:created>
  <dcterms:modified xsi:type="dcterms:W3CDTF">2018-09-03T18:44:00Z</dcterms:modified>
</cp:coreProperties>
</file>