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1EA" w:rsidRPr="008901EA" w:rsidRDefault="00EB65A5" w:rsidP="00F67AC8">
      <w:pPr>
        <w:autoSpaceDE w:val="0"/>
        <w:autoSpaceDN w:val="0"/>
        <w:spacing w:line="288" w:lineRule="auto"/>
        <w:ind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SUBSTITUTIVO AO </w:t>
      </w:r>
      <w:r w:rsidRPr="008901EA">
        <w:rPr>
          <w:rFonts w:asciiTheme="majorHAnsi" w:eastAsia="Times New Roman" w:hAnsiTheme="majorHAnsi" w:cs="Arial"/>
          <w:b/>
          <w:bCs/>
          <w:szCs w:val="24"/>
          <w:lang w:eastAsia="pt-BR"/>
        </w:rPr>
        <w:t>PROJETO DE LEI COMPLEMENTAR</w:t>
      </w: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Nº 016/2018</w:t>
      </w:r>
    </w:p>
    <w:p w:rsidR="00EB65A5" w:rsidRDefault="00EB65A5" w:rsidP="00F67AC8">
      <w:pPr>
        <w:autoSpaceDE w:val="0"/>
        <w:autoSpaceDN w:val="0"/>
        <w:spacing w:line="288" w:lineRule="auto"/>
        <w:ind w:left="5103" w:right="-1"/>
        <w:jc w:val="both"/>
        <w:rPr>
          <w:rFonts w:asciiTheme="majorHAnsi" w:eastAsia="Times New Roman" w:hAnsiTheme="majorHAnsi" w:cs="Arial"/>
          <w:sz w:val="22"/>
          <w:szCs w:val="24"/>
          <w:lang w:eastAsia="pt-BR"/>
        </w:rPr>
      </w:pPr>
    </w:p>
    <w:p w:rsidR="008901EA" w:rsidRPr="008901EA" w:rsidRDefault="004B6883" w:rsidP="00F67AC8">
      <w:pPr>
        <w:autoSpaceDE w:val="0"/>
        <w:autoSpaceDN w:val="0"/>
        <w:spacing w:line="288" w:lineRule="auto"/>
        <w:ind w:left="5103" w:right="-1"/>
        <w:jc w:val="both"/>
        <w:rPr>
          <w:rFonts w:asciiTheme="majorHAnsi" w:eastAsia="Times New Roman" w:hAnsiTheme="majorHAnsi" w:cs="Arial"/>
          <w:sz w:val="22"/>
          <w:szCs w:val="24"/>
          <w:lang w:eastAsia="pt-BR"/>
        </w:rPr>
      </w:pPr>
      <w:r>
        <w:rPr>
          <w:rFonts w:asciiTheme="majorHAnsi" w:eastAsia="Times New Roman" w:hAnsiTheme="majorHAnsi" w:cs="Arial"/>
          <w:sz w:val="22"/>
          <w:szCs w:val="24"/>
          <w:lang w:eastAsia="pt-BR"/>
        </w:rPr>
        <w:t>Introduz, n</w:t>
      </w:r>
      <w:r w:rsidR="008901EA" w:rsidRPr="008901EA">
        <w:rPr>
          <w:rFonts w:asciiTheme="majorHAnsi" w:eastAsia="Times New Roman" w:hAnsiTheme="majorHAnsi" w:cs="Arial"/>
          <w:sz w:val="22"/>
          <w:szCs w:val="24"/>
          <w:lang w:eastAsia="pt-BR"/>
        </w:rPr>
        <w:t xml:space="preserve">a Lei Complementar nº 827, de 10 de </w:t>
      </w:r>
      <w:r>
        <w:rPr>
          <w:rFonts w:asciiTheme="majorHAnsi" w:eastAsia="Times New Roman" w:hAnsiTheme="majorHAnsi" w:cs="Arial"/>
          <w:sz w:val="22"/>
          <w:szCs w:val="24"/>
          <w:lang w:eastAsia="pt-BR"/>
        </w:rPr>
        <w:t>j</w:t>
      </w:r>
      <w:r w:rsidR="008901EA" w:rsidRPr="008901EA">
        <w:rPr>
          <w:rFonts w:asciiTheme="majorHAnsi" w:eastAsia="Times New Roman" w:hAnsiTheme="majorHAnsi" w:cs="Arial"/>
          <w:sz w:val="22"/>
          <w:szCs w:val="24"/>
          <w:lang w:eastAsia="pt-BR"/>
        </w:rPr>
        <w:t>ulho de 2012 (</w:t>
      </w:r>
      <w:r w:rsidR="008901EA" w:rsidRPr="008901EA">
        <w:rPr>
          <w:rFonts w:asciiTheme="majorHAnsi" w:eastAsia="Times New Roman" w:hAnsiTheme="majorHAnsi" w:cs="Arial"/>
          <w:sz w:val="20"/>
          <w:szCs w:val="24"/>
          <w:lang w:eastAsia="pt-BR"/>
        </w:rPr>
        <w:t>Política Municipal de Proteção aos Animais</w:t>
      </w:r>
      <w:r w:rsidR="008901EA" w:rsidRPr="008901EA">
        <w:rPr>
          <w:rFonts w:asciiTheme="majorHAnsi" w:eastAsia="Times New Roman" w:hAnsiTheme="majorHAnsi" w:cs="Arial"/>
          <w:sz w:val="22"/>
          <w:szCs w:val="24"/>
          <w:lang w:eastAsia="pt-BR"/>
        </w:rPr>
        <w:t>)</w:t>
      </w:r>
      <w:r>
        <w:rPr>
          <w:rFonts w:asciiTheme="majorHAnsi" w:eastAsia="Times New Roman" w:hAnsiTheme="majorHAnsi" w:cs="Arial"/>
          <w:sz w:val="22"/>
          <w:szCs w:val="24"/>
          <w:lang w:eastAsia="pt-BR"/>
        </w:rPr>
        <w:t>, medidas relativas ao confinamento de animais e dá outras providências</w:t>
      </w:r>
      <w:r w:rsidR="008901EA" w:rsidRPr="008901EA">
        <w:rPr>
          <w:rFonts w:asciiTheme="majorHAnsi" w:eastAsia="Times New Roman" w:hAnsiTheme="majorHAnsi" w:cs="Arial"/>
          <w:sz w:val="22"/>
          <w:szCs w:val="24"/>
          <w:lang w:eastAsia="pt-BR"/>
        </w:rPr>
        <w:t>.</w:t>
      </w:r>
    </w:p>
    <w:p w:rsidR="008901EA" w:rsidRPr="008901EA" w:rsidRDefault="008901EA" w:rsidP="00F67AC8">
      <w:pPr>
        <w:autoSpaceDE w:val="0"/>
        <w:autoSpaceDN w:val="0"/>
        <w:spacing w:line="288" w:lineRule="auto"/>
        <w:ind w:left="5103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right="-1" w:firstLine="567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</w:r>
      <w:r w:rsidRPr="008901EA">
        <w:rPr>
          <w:rFonts w:asciiTheme="majorHAnsi" w:eastAsia="Times New Roman" w:hAnsiTheme="majorHAnsi" w:cs="Arial"/>
          <w:bCs/>
          <w:szCs w:val="24"/>
          <w:lang w:eastAsia="pt-BR"/>
        </w:rPr>
        <w:t>Art. 1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º Ao artigo 16, da Lei Complementar n</w:t>
      </w:r>
      <w:r w:rsidRPr="008901EA">
        <w:rPr>
          <w:rFonts w:asciiTheme="majorHAnsi" w:eastAsia="Times New Roman" w:hAnsiTheme="majorHAnsi" w:cs="Arial"/>
          <w:b/>
          <w:szCs w:val="24"/>
          <w:lang w:eastAsia="pt-BR"/>
        </w:rPr>
        <w:t>º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827, de 10 de </w:t>
      </w:r>
      <w:r w:rsidR="004B6883">
        <w:rPr>
          <w:rFonts w:asciiTheme="majorHAnsi" w:eastAsia="Times New Roman" w:hAnsiTheme="majorHAnsi" w:cs="Arial"/>
          <w:szCs w:val="24"/>
          <w:lang w:eastAsia="pt-BR"/>
        </w:rPr>
        <w:t>j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ulho de 2012 (Política Municipal de Proteção aos Animais), fica acrescentado o inciso</w:t>
      </w:r>
      <w:r w:rsidR="004B6883">
        <w:rPr>
          <w:rFonts w:asciiTheme="majorHAnsi" w:eastAsia="Times New Roman" w:hAnsiTheme="majorHAnsi" w:cs="Arial"/>
          <w:szCs w:val="24"/>
          <w:lang w:eastAsia="pt-BR"/>
        </w:rPr>
        <w:t xml:space="preserve"> IX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: 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  <w:t>“</w:t>
      </w:r>
      <w:r w:rsidRPr="008901EA">
        <w:rPr>
          <w:rFonts w:asciiTheme="majorHAnsi" w:eastAsia="Times New Roman" w:hAnsiTheme="majorHAnsi" w:cs="Arial"/>
          <w:bCs/>
          <w:szCs w:val="24"/>
          <w:lang w:eastAsia="pt-BR"/>
        </w:rPr>
        <w:t xml:space="preserve">Art.16. 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</w:t>
      </w:r>
      <w:r w:rsidR="004B6883" w:rsidRPr="004B6883">
        <w:rPr>
          <w:rFonts w:asciiTheme="majorHAnsi" w:eastAsia="Times New Roman" w:hAnsiTheme="majorHAnsi" w:cs="Arial"/>
          <w:szCs w:val="24"/>
          <w:lang w:eastAsia="pt-BR"/>
        </w:rPr>
        <w:t>[...]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</w:r>
      <w:r w:rsidR="004B6883" w:rsidRPr="004B6883">
        <w:rPr>
          <w:rFonts w:asciiTheme="majorHAnsi" w:eastAsia="Times New Roman" w:hAnsiTheme="majorHAnsi" w:cs="Arial"/>
          <w:szCs w:val="24"/>
          <w:lang w:eastAsia="pt-BR"/>
        </w:rPr>
        <w:t>I</w:t>
      </w:r>
      <w:r w:rsidR="004B6883">
        <w:rPr>
          <w:rFonts w:asciiTheme="majorHAnsi" w:eastAsia="Times New Roman" w:hAnsiTheme="majorHAnsi" w:cs="Arial"/>
          <w:szCs w:val="24"/>
          <w:lang w:eastAsia="pt-BR"/>
        </w:rPr>
        <w:t xml:space="preserve"> a VIII – [...]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IX. Confinamento</w:t>
      </w:r>
      <w:r w:rsidR="004B6883">
        <w:rPr>
          <w:rFonts w:asciiTheme="majorHAnsi" w:eastAsia="Times New Roman" w:hAnsiTheme="majorHAnsi" w:cs="Arial"/>
          <w:szCs w:val="24"/>
          <w:lang w:eastAsia="pt-BR"/>
        </w:rPr>
        <w:t xml:space="preserve">, acorrentamento 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ou alojamento inadequado.</w:t>
      </w:r>
      <w:r w:rsidR="004B6883">
        <w:rPr>
          <w:rFonts w:asciiTheme="majorHAnsi" w:eastAsia="Times New Roman" w:hAnsiTheme="majorHAnsi" w:cs="Arial"/>
          <w:szCs w:val="24"/>
          <w:lang w:eastAsia="pt-BR"/>
        </w:rPr>
        <w:t xml:space="preserve"> (</w:t>
      </w:r>
      <w:proofErr w:type="gramStart"/>
      <w:r w:rsidR="004B6883">
        <w:rPr>
          <w:rFonts w:asciiTheme="majorHAnsi" w:eastAsia="Times New Roman" w:hAnsiTheme="majorHAnsi" w:cs="Arial"/>
          <w:szCs w:val="24"/>
          <w:lang w:eastAsia="pt-BR"/>
        </w:rPr>
        <w:t>NR)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”</w:t>
      </w:r>
      <w:proofErr w:type="gramEnd"/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right="-1" w:firstLine="567"/>
        <w:jc w:val="both"/>
        <w:rPr>
          <w:rFonts w:asciiTheme="majorHAnsi" w:eastAsia="Times New Roman" w:hAnsiTheme="majorHAnsi" w:cs="Arial"/>
          <w:b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bCs/>
          <w:szCs w:val="24"/>
          <w:lang w:eastAsia="pt-BR"/>
        </w:rPr>
        <w:t>Art. 2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º</w:t>
      </w:r>
      <w:r w:rsidRPr="008901EA">
        <w:rPr>
          <w:rFonts w:asciiTheme="majorHAnsi" w:eastAsia="Times New Roman" w:hAnsiTheme="majorHAnsi" w:cs="Arial"/>
          <w:b/>
          <w:szCs w:val="24"/>
          <w:lang w:eastAsia="pt-BR"/>
        </w:rPr>
        <w:t xml:space="preserve"> 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Fica acrescentado o art. 16-A, à Lei Complementar n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 xml:space="preserve">º827, de 10 de </w:t>
      </w:r>
      <w:proofErr w:type="gramStart"/>
      <w:r w:rsidR="00EB65A5">
        <w:rPr>
          <w:rFonts w:asciiTheme="majorHAnsi" w:eastAsia="Times New Roman" w:hAnsiTheme="majorHAnsi" w:cs="Arial"/>
          <w:szCs w:val="24"/>
          <w:lang w:eastAsia="pt-BR"/>
        </w:rPr>
        <w:t>J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ulho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de 2012, com a seguinte redação: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 “Art. 16-A Para efeitos do inciso IX, do artigo 16 desta Lei, entende-se como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‘confinamento, acorrentamento O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u alojamento inadequado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’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qualquer meio de restrição à liberdade de locomoção dos animais domésticos.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§1º A restrição à liberdade de locomoção ocorrerá por qualquer meio de aprisionamento – permanente ou rotineiro – do animal a um objeto estacionário por períodos contínuos.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§2º Nos casos de impossibilidade temporária por falta de outro meio de contenção, o animal será preso a uma corrente do tipo “</w:t>
      </w:r>
      <w:proofErr w:type="spellStart"/>
      <w:r w:rsidRPr="008901EA">
        <w:rPr>
          <w:rFonts w:asciiTheme="majorHAnsi" w:eastAsia="Times New Roman" w:hAnsiTheme="majorHAnsi" w:cs="Arial"/>
          <w:szCs w:val="24"/>
          <w:lang w:eastAsia="pt-BR"/>
        </w:rPr>
        <w:t>vai-vem</w:t>
      </w:r>
      <w:proofErr w:type="spellEnd"/>
      <w:r w:rsidRPr="008901EA">
        <w:rPr>
          <w:rFonts w:asciiTheme="majorHAnsi" w:eastAsia="Times New Roman" w:hAnsiTheme="majorHAnsi" w:cs="Arial"/>
          <w:szCs w:val="24"/>
          <w:lang w:eastAsia="pt-BR"/>
        </w:rPr>
        <w:t>” com no mínimo oito metros de comprimento.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§3º A liberdade de locomoção do animal deverá ser oferecida de modo a não causar quaisquer ferimentos, dores ou angústias, observando-se: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I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a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corrente utilizada não poderá pesar mais de 10% do peso do animal;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II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ficará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vedado o uso de cadeado para fechamento da coleira;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§4º É proibido o confinamento de animais em alojamentos e/ou locais que não respeitem as condições adequadas ao bem-estar do animal, observando-se: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I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dimensões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apropriadas à espécie, necessidade e tamanho do animal;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II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espaço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suficiente para ampla movimentação;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>III – incidência de sol, luz, sombra e ventilação: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V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fornecimento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de alimento e água limpa, além de contínuo atendimento de suas necessidades, incluindo atendimento veterinário;</w:t>
      </w:r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ab/>
        <w:t xml:space="preserve">VI – </w:t>
      </w:r>
      <w:proofErr w:type="gramStart"/>
      <w:r w:rsidRPr="008901EA">
        <w:rPr>
          <w:rFonts w:asciiTheme="majorHAnsi" w:eastAsia="Times New Roman" w:hAnsiTheme="majorHAnsi" w:cs="Arial"/>
          <w:szCs w:val="24"/>
          <w:lang w:eastAsia="pt-BR"/>
        </w:rPr>
        <w:t>asseio e conservação</w:t>
      </w:r>
      <w:proofErr w:type="gramEnd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 de higiene do alojamento e do próprio animal;</w:t>
      </w:r>
    </w:p>
    <w:p w:rsidR="00EB65A5" w:rsidRDefault="008901EA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§5º Os animais encontrados nas condições anteriormente previstas de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 xml:space="preserve">confinamento, acorrentamento 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ou alojamento inadequado devem ser resgatados e encaminhados para adoção. </w:t>
      </w:r>
    </w:p>
    <w:p w:rsidR="008901EA" w:rsidRPr="008901EA" w:rsidRDefault="00EB65A5" w:rsidP="00F67AC8">
      <w:pPr>
        <w:autoSpaceDE w:val="0"/>
        <w:autoSpaceDN w:val="0"/>
        <w:spacing w:before="120" w:after="120" w:line="240" w:lineRule="auto"/>
        <w:ind w:left="567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lastRenderedPageBreak/>
        <w:t>§ 6º O descumprimento ao disposto neste artigo constitui infração gravíssima, nos termos do art. 25, II, desta Lei Complementar</w:t>
      </w:r>
      <w:r w:rsidR="008901EA" w:rsidRPr="008901EA">
        <w:rPr>
          <w:rFonts w:asciiTheme="majorHAnsi" w:eastAsia="Times New Roman" w:hAnsiTheme="majorHAnsi" w:cs="Arial"/>
          <w:szCs w:val="24"/>
          <w:lang w:eastAsia="pt-BR"/>
        </w:rPr>
        <w:t xml:space="preserve">, acrescida de 100% 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a cada </w:t>
      </w:r>
      <w:r w:rsidR="008901EA" w:rsidRPr="008901EA">
        <w:rPr>
          <w:rFonts w:asciiTheme="majorHAnsi" w:eastAsia="Times New Roman" w:hAnsiTheme="majorHAnsi" w:cs="Arial"/>
          <w:szCs w:val="24"/>
          <w:lang w:eastAsia="pt-BR"/>
        </w:rPr>
        <w:t>reincidência.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(</w:t>
      </w:r>
      <w:proofErr w:type="gramStart"/>
      <w:r>
        <w:rPr>
          <w:rFonts w:asciiTheme="majorHAnsi" w:eastAsia="Times New Roman" w:hAnsiTheme="majorHAnsi" w:cs="Arial"/>
          <w:szCs w:val="24"/>
          <w:lang w:eastAsia="pt-BR"/>
        </w:rPr>
        <w:t>NR)”</w:t>
      </w:r>
      <w:proofErr w:type="gramEnd"/>
    </w:p>
    <w:p w:rsidR="008901EA" w:rsidRPr="008901EA" w:rsidRDefault="008901EA" w:rsidP="00F67AC8">
      <w:pPr>
        <w:autoSpaceDE w:val="0"/>
        <w:autoSpaceDN w:val="0"/>
        <w:spacing w:before="120" w:after="120" w:line="240" w:lineRule="auto"/>
        <w:ind w:right="-1" w:firstLine="567"/>
        <w:jc w:val="both"/>
        <w:rPr>
          <w:rFonts w:asciiTheme="majorHAnsi" w:eastAsia="Times New Roman" w:hAnsiTheme="majorHAnsi" w:cs="Arial"/>
          <w:szCs w:val="24"/>
          <w:lang w:eastAsia="pt-BR"/>
        </w:rPr>
      </w:pPr>
      <w:bookmarkStart w:id="0" w:name="_GoBack"/>
      <w:bookmarkEnd w:id="0"/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Art. 3º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Esta L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ei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C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omplementar entra em vigor na data de sua publicação,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produzindo efeitos a partir de 90 (noventa) dias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8901EA" w:rsidRPr="008901EA" w:rsidRDefault="008901EA" w:rsidP="00F67AC8">
      <w:pPr>
        <w:autoSpaceDE w:val="0"/>
        <w:autoSpaceDN w:val="0"/>
        <w:spacing w:line="288" w:lineRule="auto"/>
        <w:ind w:left="567"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Sala de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reuniões das comissões</w:t>
      </w:r>
      <w:r w:rsidRPr="008901EA">
        <w:rPr>
          <w:rFonts w:asciiTheme="majorHAnsi" w:eastAsia="Times New Roman" w:hAnsiTheme="majorHAnsi" w:cs="Arial"/>
          <w:szCs w:val="24"/>
          <w:lang w:eastAsia="pt-BR"/>
        </w:rPr>
        <w:t xml:space="preserve">, </w:t>
      </w:r>
      <w:r w:rsidR="00EB65A5">
        <w:rPr>
          <w:rFonts w:asciiTheme="majorHAnsi" w:eastAsia="Times New Roman" w:hAnsiTheme="majorHAnsi" w:cs="Arial"/>
          <w:szCs w:val="24"/>
          <w:lang w:eastAsia="pt-BR"/>
        </w:rPr>
        <w:t>___________________________</w:t>
      </w:r>
    </w:p>
    <w:p w:rsidR="008901EA" w:rsidRPr="008901EA" w:rsidRDefault="008901EA" w:rsidP="00F67AC8">
      <w:pPr>
        <w:autoSpaceDE w:val="0"/>
        <w:autoSpaceDN w:val="0"/>
        <w:spacing w:line="288" w:lineRule="auto"/>
        <w:ind w:left="567"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8901EA" w:rsidRPr="008901EA" w:rsidRDefault="008901EA" w:rsidP="00F67AC8">
      <w:pPr>
        <w:autoSpaceDE w:val="0"/>
        <w:autoSpaceDN w:val="0"/>
        <w:spacing w:line="288" w:lineRule="auto"/>
        <w:ind w:left="567"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EB65A5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______________________________</w:t>
      </w: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EB65A5">
        <w:rPr>
          <w:rFonts w:asciiTheme="majorHAnsi" w:eastAsia="Times New Roman" w:hAnsiTheme="majorHAnsi" w:cs="Arial"/>
          <w:b/>
          <w:bCs/>
          <w:szCs w:val="24"/>
          <w:lang w:eastAsia="pt-BR"/>
        </w:rPr>
        <w:t>José Carlos Porsani</w:t>
      </w: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EB65A5">
        <w:rPr>
          <w:rFonts w:asciiTheme="majorHAnsi" w:eastAsia="Times New Roman" w:hAnsiTheme="majorHAnsi" w:cs="Arial"/>
          <w:b/>
          <w:bCs/>
          <w:szCs w:val="24"/>
          <w:lang w:eastAsia="pt-BR"/>
        </w:rPr>
        <w:t>Presidente da CJLR</w:t>
      </w: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EB65A5">
        <w:rPr>
          <w:rFonts w:asciiTheme="majorHAnsi" w:eastAsia="Times New Roman" w:hAnsiTheme="majorHAnsi" w:cs="Arial"/>
          <w:bCs/>
          <w:szCs w:val="24"/>
          <w:lang w:eastAsia="pt-BR"/>
        </w:rPr>
        <w:t>______________________________                                              ______________________________</w:t>
      </w:r>
    </w:p>
    <w:p w:rsidR="00EB65A5" w:rsidRDefault="00EB65A5" w:rsidP="00F67AC8">
      <w:pPr>
        <w:autoSpaceDE w:val="0"/>
        <w:autoSpaceDN w:val="0"/>
        <w:spacing w:line="240" w:lineRule="auto"/>
        <w:ind w:left="34" w:right="-1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 w:rsidRPr="00EB65A5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Cabo Magal Verri</w:t>
      </w:r>
      <w:r w:rsidRPr="00EB65A5">
        <w:rPr>
          <w:rFonts w:asciiTheme="majorHAnsi" w:eastAsia="Times New Roman" w:hAnsiTheme="majorHAnsi" w:cs="Arial"/>
          <w:b/>
          <w:bCs/>
          <w:szCs w:val="24"/>
          <w:lang w:eastAsia="pt-BR"/>
        </w:rPr>
        <w:tab/>
        <w:t xml:space="preserve">                                                       Thainara Faria</w:t>
      </w: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 Membro da CJLR</w:t>
      </w:r>
      <w:r w:rsidRPr="00EB65A5"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</w:t>
      </w: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 xml:space="preserve">                                                                Membro da CJLR</w:t>
      </w:r>
    </w:p>
    <w:p w:rsidR="00EB65A5" w:rsidRPr="00EB65A5" w:rsidRDefault="00EB65A5" w:rsidP="00F67AC8">
      <w:pPr>
        <w:autoSpaceDE w:val="0"/>
        <w:autoSpaceDN w:val="0"/>
        <w:spacing w:line="240" w:lineRule="auto"/>
        <w:ind w:left="34" w:right="-1"/>
        <w:jc w:val="both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8901EA" w:rsidRPr="008901EA" w:rsidRDefault="008901EA" w:rsidP="00F67AC8">
      <w:pPr>
        <w:autoSpaceDE w:val="0"/>
        <w:autoSpaceDN w:val="0"/>
        <w:spacing w:line="288" w:lineRule="auto"/>
        <w:ind w:left="567" w:right="-1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sectPr w:rsidR="008901EA" w:rsidRPr="008901E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9B0" w:rsidRDefault="009039B0" w:rsidP="00126850">
      <w:pPr>
        <w:spacing w:line="240" w:lineRule="auto"/>
      </w:pPr>
      <w:r>
        <w:separator/>
      </w:r>
    </w:p>
  </w:endnote>
  <w:endnote w:type="continuationSeparator" w:id="0">
    <w:p w:rsidR="009039B0" w:rsidRDefault="009039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8901EA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8901EA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8901EA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8901EA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8901EA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8901EA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9B0" w:rsidRDefault="009039B0" w:rsidP="00126850">
      <w:pPr>
        <w:spacing w:line="240" w:lineRule="auto"/>
      </w:pPr>
      <w:r>
        <w:separator/>
      </w:r>
    </w:p>
  </w:footnote>
  <w:footnote w:type="continuationSeparator" w:id="0">
    <w:p w:rsidR="009039B0" w:rsidRDefault="009039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8901EA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8901EA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8901E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883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01EA"/>
    <w:rsid w:val="0089403A"/>
    <w:rsid w:val="008A3CA1"/>
    <w:rsid w:val="008B56CB"/>
    <w:rsid w:val="008B7176"/>
    <w:rsid w:val="008C5E36"/>
    <w:rsid w:val="008D0FE4"/>
    <w:rsid w:val="008E32AE"/>
    <w:rsid w:val="00901D0B"/>
    <w:rsid w:val="009039B0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65A5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7AC8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8901EA"/>
    <w:pPr>
      <w:autoSpaceDE w:val="0"/>
      <w:autoSpaceDN w:val="0"/>
      <w:spacing w:line="240" w:lineRule="auto"/>
    </w:pPr>
    <w:rPr>
      <w:rFonts w:eastAsia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24597-CD18-414C-B093-B56BACD6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2018-09-03T18:44:00Z</cp:lastPrinted>
  <dcterms:created xsi:type="dcterms:W3CDTF">2018-09-03T18:11:00Z</dcterms:created>
  <dcterms:modified xsi:type="dcterms:W3CDTF">2018-09-03T18:44:00Z</dcterms:modified>
</cp:coreProperties>
</file>