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02C9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02C9A">
        <w:rPr>
          <w:rFonts w:ascii="Tahoma" w:hAnsi="Tahoma" w:cs="Tahoma"/>
          <w:b/>
          <w:sz w:val="32"/>
          <w:szCs w:val="32"/>
          <w:u w:val="single"/>
        </w:rPr>
        <w:t>181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C48D7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C48D7">
        <w:rPr>
          <w:rFonts w:ascii="Tahoma" w:hAnsi="Tahoma" w:cs="Tahoma"/>
          <w:b/>
          <w:sz w:val="32"/>
          <w:szCs w:val="32"/>
          <w:u w:val="single"/>
        </w:rPr>
        <w:t>011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C48D7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C48D7">
        <w:rPr>
          <w:rFonts w:ascii="Calibri" w:hAnsi="Calibri" w:cs="Calibri"/>
          <w:sz w:val="22"/>
          <w:szCs w:val="22"/>
        </w:rPr>
        <w:t xml:space="preserve">Dá nova redação ao inciso III do </w:t>
      </w:r>
      <w:r w:rsidR="00B351C6">
        <w:rPr>
          <w:rFonts w:ascii="Calibri" w:hAnsi="Calibri" w:cs="Calibri"/>
          <w:sz w:val="22"/>
          <w:szCs w:val="22"/>
        </w:rPr>
        <w:t>a</w:t>
      </w:r>
      <w:r w:rsidRPr="00BC48D7">
        <w:rPr>
          <w:rFonts w:ascii="Calibri" w:hAnsi="Calibri" w:cs="Calibri"/>
          <w:sz w:val="22"/>
          <w:szCs w:val="22"/>
        </w:rPr>
        <w:t>rt. 346 da Lei Complementar nº 17, de 1º de dezembro de 1997.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C48D7" w:rsidRDefault="00BC48D7" w:rsidP="00BC4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C48D7">
        <w:rPr>
          <w:rFonts w:ascii="Calibri" w:hAnsi="Calibri" w:cs="Calibri"/>
          <w:sz w:val="24"/>
          <w:szCs w:val="22"/>
        </w:rPr>
        <w:t xml:space="preserve">Art. 1º O inciso III do </w:t>
      </w:r>
      <w:r w:rsidR="00B351C6">
        <w:rPr>
          <w:rFonts w:ascii="Calibri" w:hAnsi="Calibri" w:cs="Calibri"/>
          <w:sz w:val="24"/>
          <w:szCs w:val="22"/>
        </w:rPr>
        <w:t>a</w:t>
      </w:r>
      <w:r w:rsidRPr="00BC48D7">
        <w:rPr>
          <w:rFonts w:ascii="Calibri" w:hAnsi="Calibri" w:cs="Calibri"/>
          <w:sz w:val="24"/>
          <w:szCs w:val="22"/>
        </w:rPr>
        <w:t>rt. 346 da Lei Complementar nº 17, de 1º de dezembro de 1997, passa a vigorar com a seguinte redação:</w:t>
      </w:r>
    </w:p>
    <w:p w:rsidR="00BC48D7" w:rsidRPr="00BC48D7" w:rsidRDefault="00BC48D7" w:rsidP="00BC4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351C6" w:rsidRDefault="00BC48D7" w:rsidP="00BC48D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C48D7">
        <w:rPr>
          <w:rFonts w:ascii="Calibri" w:hAnsi="Calibri" w:cs="Calibri"/>
          <w:sz w:val="24"/>
          <w:szCs w:val="22"/>
        </w:rPr>
        <w:t>“</w:t>
      </w:r>
      <w:r w:rsidR="00B351C6">
        <w:rPr>
          <w:rFonts w:ascii="Calibri" w:hAnsi="Calibri" w:cs="Calibri"/>
          <w:sz w:val="24"/>
          <w:szCs w:val="22"/>
        </w:rPr>
        <w:t>Art. 346 ...</w:t>
      </w:r>
    </w:p>
    <w:p w:rsidR="00B351C6" w:rsidRDefault="00B351C6" w:rsidP="00BC48D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</w:t>
      </w:r>
    </w:p>
    <w:p w:rsidR="00BC48D7" w:rsidRDefault="00BC48D7" w:rsidP="00BC48D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C48D7">
        <w:rPr>
          <w:rFonts w:ascii="Calibri" w:hAnsi="Calibri" w:cs="Calibri"/>
          <w:sz w:val="24"/>
          <w:szCs w:val="22"/>
        </w:rPr>
        <w:t>III - infrações relacionadas com a declaração de informações econômico-fiscais:</w:t>
      </w:r>
    </w:p>
    <w:p w:rsidR="00B351C6" w:rsidRDefault="00B351C6" w:rsidP="00BC48D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a) revogado</w:t>
      </w:r>
    </w:p>
    <w:p w:rsidR="00B351C6" w:rsidRPr="00BC48D7" w:rsidRDefault="00B351C6" w:rsidP="00BC48D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b) revogado</w:t>
      </w:r>
    </w:p>
    <w:p w:rsidR="00BC48D7" w:rsidRPr="00BC48D7" w:rsidRDefault="00BC48D7" w:rsidP="00BC48D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C48D7">
        <w:rPr>
          <w:rFonts w:ascii="Calibri" w:hAnsi="Calibri" w:cs="Calibri"/>
          <w:sz w:val="24"/>
          <w:szCs w:val="22"/>
        </w:rPr>
        <w:t>c) instruir processos administrativos com documentos que contenham falsidade: multa de 10 UFM (Unidade Fiscal Municipal) por documento, sem prejuízo de eventual responsabilização na esfera criminal;</w:t>
      </w:r>
    </w:p>
    <w:p w:rsidR="00B351C6" w:rsidRDefault="00BC48D7" w:rsidP="00BC48D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C48D7">
        <w:rPr>
          <w:rFonts w:ascii="Calibri" w:hAnsi="Calibri" w:cs="Calibri"/>
          <w:sz w:val="24"/>
          <w:szCs w:val="22"/>
        </w:rPr>
        <w:t>d) deixar de expor em lugar de fácil visualização e acessível ao público e à fiscalização, os documentos e impressos exigidos pela autoridade administrativa: multa: 02 UFM (duas Unidades Fiscais Municipais), por documento ou impresso não exposto;</w:t>
      </w:r>
    </w:p>
    <w:p w:rsidR="00B351C6" w:rsidRPr="00BC48D7" w:rsidRDefault="00B351C6" w:rsidP="00B351C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e</w:t>
      </w:r>
      <w:r w:rsidRPr="00BC48D7">
        <w:rPr>
          <w:rFonts w:ascii="Calibri" w:hAnsi="Calibri" w:cs="Calibri"/>
          <w:sz w:val="24"/>
          <w:szCs w:val="22"/>
        </w:rPr>
        <w:t>) deixar de escriturar e/ou encerrar escrituração, no sistema eletrônico de gestão do ISSQN, referente ao movimento econômico de pessoa jurídica que obteve receita de prestação de serviços: multa de 50% (cinquenta por cento) da UFM (Unidade Fiscal Municipal), por mês ou fração deste, que transcorrer sem o cumprimento da obrigação;</w:t>
      </w:r>
    </w:p>
    <w:p w:rsidR="00BC48D7" w:rsidRPr="00BC48D7" w:rsidRDefault="00B351C6" w:rsidP="00BC48D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f</w:t>
      </w:r>
      <w:r w:rsidRPr="00BC48D7">
        <w:rPr>
          <w:rFonts w:ascii="Calibri" w:hAnsi="Calibri" w:cs="Calibri"/>
          <w:sz w:val="24"/>
          <w:szCs w:val="22"/>
        </w:rPr>
        <w:t>) deixar de escriturar e/ou encerrar escrituração, no sistema eletrônico de gestão do ISSQN, de ausência de movimento econômico de pessoa jurídica: multa de 25% (vinte e cinco por cento) da UFM (Unidade Fiscal Municipal), por mês ou fração deste, que transcorrer</w:t>
      </w:r>
      <w:r>
        <w:rPr>
          <w:rFonts w:ascii="Calibri" w:hAnsi="Calibri" w:cs="Calibri"/>
          <w:sz w:val="24"/>
          <w:szCs w:val="22"/>
        </w:rPr>
        <w:t xml:space="preserve"> sem o cumprimento da obrigação.” (NR)</w:t>
      </w:r>
    </w:p>
    <w:p w:rsidR="00BC48D7" w:rsidRDefault="00BC48D7" w:rsidP="00BC4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C48D7" w:rsidP="00BC4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351C6">
        <w:rPr>
          <w:rFonts w:ascii="Calibri" w:hAnsi="Calibri" w:cs="Calibri"/>
          <w:sz w:val="24"/>
          <w:szCs w:val="22"/>
        </w:rPr>
        <w:t>Art. 2º Esta l</w:t>
      </w:r>
      <w:r w:rsidRPr="00BC48D7">
        <w:rPr>
          <w:rFonts w:ascii="Calibri" w:hAnsi="Calibri" w:cs="Calibri"/>
          <w:sz w:val="24"/>
          <w:szCs w:val="22"/>
        </w:rPr>
        <w:t xml:space="preserve">ei </w:t>
      </w:r>
      <w:r w:rsidR="00B351C6">
        <w:rPr>
          <w:rFonts w:ascii="Calibri" w:hAnsi="Calibri" w:cs="Calibri"/>
          <w:sz w:val="24"/>
          <w:szCs w:val="22"/>
        </w:rPr>
        <w:t xml:space="preserve">complementar </w:t>
      </w:r>
      <w:r w:rsidRPr="00BC48D7">
        <w:rPr>
          <w:rFonts w:ascii="Calibri" w:hAnsi="Calibri" w:cs="Calibri"/>
          <w:sz w:val="24"/>
          <w:szCs w:val="22"/>
        </w:rPr>
        <w:t>entra em vigor na data de sua publicação.</w:t>
      </w:r>
    </w:p>
    <w:p w:rsidR="00BC48D7" w:rsidRPr="00646520" w:rsidRDefault="00BC48D7" w:rsidP="00BC48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57BF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457BF">
        <w:rPr>
          <w:rFonts w:ascii="Calibri" w:hAnsi="Calibri" w:cs="Calibri"/>
          <w:sz w:val="24"/>
          <w:szCs w:val="24"/>
        </w:rPr>
        <w:t>vinte e 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BC48D7" w:rsidRDefault="00022312" w:rsidP="00BC48D7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02C9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02C9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2C9A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351C6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BC48D7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126</cp:revision>
  <cp:lastPrinted>2018-06-26T22:41:00Z</cp:lastPrinted>
  <dcterms:created xsi:type="dcterms:W3CDTF">2016-08-16T19:55:00Z</dcterms:created>
  <dcterms:modified xsi:type="dcterms:W3CDTF">2018-07-24T15:01:00Z</dcterms:modified>
</cp:coreProperties>
</file>