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C15C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71649">
        <w:rPr>
          <w:rFonts w:ascii="Tahoma" w:hAnsi="Tahoma" w:cs="Tahoma"/>
          <w:b/>
          <w:sz w:val="32"/>
          <w:szCs w:val="32"/>
          <w:u w:val="single"/>
        </w:rPr>
        <w:t>179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D2A84">
        <w:rPr>
          <w:rFonts w:ascii="Tahoma" w:hAnsi="Tahoma" w:cs="Tahoma"/>
          <w:b/>
          <w:sz w:val="32"/>
          <w:szCs w:val="32"/>
          <w:u w:val="single"/>
        </w:rPr>
        <w:t>171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15CD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15CD">
        <w:rPr>
          <w:rFonts w:ascii="Calibri" w:hAnsi="Calibri" w:cs="Calibri"/>
          <w:sz w:val="22"/>
          <w:szCs w:val="22"/>
        </w:rPr>
        <w:t>Dispõe sobre a desafetação e alienação de imóvel do patrimônio público.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15CD" w:rsidRP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 xml:space="preserve">Art. 1º Fica desafetado da classe de bens de uso comum do povo, para enquadramento na classe de bens dominicais, o seguinte imóvel: Imóvel objeto da transcrição nº 25.362 do 1º Cartório de Registro de Imóveis, Cadastro Municipal nº 04-0082-0007, localizado na Avenida José </w:t>
      </w:r>
      <w:proofErr w:type="spellStart"/>
      <w:r w:rsidRPr="005C15CD">
        <w:rPr>
          <w:rFonts w:ascii="Calibri" w:hAnsi="Calibri" w:cs="Calibri"/>
          <w:sz w:val="24"/>
          <w:szCs w:val="22"/>
        </w:rPr>
        <w:t>Parisi</w:t>
      </w:r>
      <w:proofErr w:type="spellEnd"/>
      <w:r w:rsidRPr="005C15CD">
        <w:rPr>
          <w:rFonts w:ascii="Calibri" w:hAnsi="Calibri" w:cs="Calibri"/>
          <w:sz w:val="24"/>
          <w:szCs w:val="22"/>
        </w:rPr>
        <w:t>, 364, Vila Velosa, Araraquara/SP.</w:t>
      </w:r>
    </w:p>
    <w:p w:rsid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5CD" w:rsidRP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>Art. 2º Fica o Poder Executivo autorizado a alienar o imóvel citado no artigo anterior ao Departamento Autônomo de Água e Esgotos – DAAE, órgão integrante da administração municipal indireta, com dispensa de licitação, nos termos do Art. 17, I, “e”, da Lei Federal nº 8.666, de 21 de junho de 1993.</w:t>
      </w:r>
    </w:p>
    <w:p w:rsid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5CD" w:rsidRP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>Parágrafo único. A alienação de que trata o caput deste artigo será ad corpus, conforme o Art. 500, §3º, da Lei Federal nº 10.406, de 10 de janeiro de 2002.</w:t>
      </w:r>
    </w:p>
    <w:p w:rsid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5CD" w:rsidRP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>Art. 3º A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5CD" w:rsidRP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>Art. 4º A receita decorrente da alienação referida no artigo 2º desta Lei não financiará despesa corrente.</w:t>
      </w:r>
    </w:p>
    <w:p w:rsidR="005C15CD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04F37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5CD">
        <w:rPr>
          <w:rFonts w:ascii="Calibri" w:hAnsi="Calibri" w:cs="Calibri"/>
          <w:sz w:val="24"/>
          <w:szCs w:val="22"/>
        </w:rPr>
        <w:t xml:space="preserve">Art. 5º 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5C15CD">
        <w:rPr>
          <w:rFonts w:ascii="Calibri" w:hAnsi="Calibri" w:cs="Calibri"/>
          <w:sz w:val="24"/>
          <w:szCs w:val="22"/>
        </w:rPr>
        <w:t>ei entra em vigor na data de sua publicação.</w:t>
      </w:r>
    </w:p>
    <w:p w:rsidR="005C15CD" w:rsidRPr="00FE3614" w:rsidRDefault="005C15CD" w:rsidP="005C15C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D2A84">
        <w:rPr>
          <w:rFonts w:ascii="Calibri" w:hAnsi="Calibri" w:cs="Calibri"/>
          <w:sz w:val="24"/>
          <w:szCs w:val="24"/>
        </w:rPr>
        <w:t>18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D2A84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D2A84">
        <w:rPr>
          <w:rFonts w:ascii="Calibri" w:hAnsi="Calibri" w:cs="Calibri"/>
          <w:sz w:val="24"/>
          <w:szCs w:val="24"/>
        </w:rPr>
        <w:t>jul</w:t>
      </w:r>
      <w:r w:rsidR="008A509C">
        <w:rPr>
          <w:rFonts w:ascii="Calibri" w:hAnsi="Calibri" w:cs="Calibri"/>
          <w:sz w:val="24"/>
          <w:szCs w:val="24"/>
        </w:rPr>
        <w:t>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E04F37" w:rsidRDefault="00022312" w:rsidP="00E04F37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15C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C15C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F5E11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15CD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D2A84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1649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04F37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124</cp:revision>
  <cp:lastPrinted>2018-06-26T22:41:00Z</cp:lastPrinted>
  <dcterms:created xsi:type="dcterms:W3CDTF">2016-08-16T19:55:00Z</dcterms:created>
  <dcterms:modified xsi:type="dcterms:W3CDTF">2018-07-18T02:33:00Z</dcterms:modified>
</cp:coreProperties>
</file>