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1D1934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97722D" wp14:editId="3203F99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317E66" wp14:editId="47CACD9F">
                                  <wp:extent cx="914400" cy="1066800"/>
                                  <wp:effectExtent l="1905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 wp14:anchorId="2A317E66" wp14:editId="47CACD9F">
                            <wp:extent cx="914400" cy="1066800"/>
                            <wp:effectExtent l="1905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 w:rsidP="0048141A">
      <w:pPr>
        <w:ind w:left="567" w:right="38"/>
      </w:pPr>
    </w:p>
    <w:p w:rsidR="008C0933" w:rsidRDefault="008C0933" w:rsidP="008C0933">
      <w:pPr>
        <w:ind w:left="567"/>
        <w:jc w:val="center"/>
      </w:pPr>
    </w:p>
    <w:tbl>
      <w:tblPr>
        <w:tblW w:w="9213" w:type="dxa"/>
        <w:tblInd w:w="675" w:type="dxa"/>
        <w:tblLook w:val="01E0" w:firstRow="1" w:lastRow="1" w:firstColumn="1" w:lastColumn="1" w:noHBand="0" w:noVBand="0"/>
      </w:tblPr>
      <w:tblGrid>
        <w:gridCol w:w="6096"/>
        <w:gridCol w:w="1275"/>
        <w:gridCol w:w="1842"/>
      </w:tblGrid>
      <w:tr w:rsidR="008C0933" w:rsidTr="009B409E">
        <w:tc>
          <w:tcPr>
            <w:tcW w:w="6096" w:type="dxa"/>
            <w:hideMark/>
          </w:tcPr>
          <w:p w:rsidR="008C0933" w:rsidRDefault="0079240C" w:rsidP="0079240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                         </w:t>
            </w:r>
            <w:r w:rsidR="009B409E">
              <w:rPr>
                <w:b/>
                <w:bCs/>
                <w:sz w:val="32"/>
                <w:szCs w:val="32"/>
              </w:rPr>
              <w:t>P</w:t>
            </w:r>
            <w:r w:rsidR="008C0933">
              <w:rPr>
                <w:b/>
                <w:bCs/>
                <w:sz w:val="32"/>
                <w:szCs w:val="32"/>
              </w:rPr>
              <w:t xml:space="preserve">ROJETO DE LEI Nº </w:t>
            </w:r>
          </w:p>
        </w:tc>
        <w:tc>
          <w:tcPr>
            <w:tcW w:w="1275" w:type="dxa"/>
            <w:hideMark/>
          </w:tcPr>
          <w:p w:rsidR="008C0933" w:rsidRDefault="008C0933" w:rsidP="000F6FA2">
            <w:pPr>
              <w:ind w:right="-108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520EB1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8141A" w:rsidRPr="0048141A" w:rsidRDefault="0048141A" w:rsidP="00EF3A98">
      <w:pPr>
        <w:pStyle w:val="Corpodetexto"/>
        <w:spacing w:before="121"/>
        <w:ind w:left="4536" w:right="321" w:firstLine="3402"/>
        <w:jc w:val="right"/>
        <w:rPr>
          <w:sz w:val="24"/>
          <w:szCs w:val="24"/>
        </w:rPr>
      </w:pPr>
      <w:r w:rsidRPr="0048141A">
        <w:rPr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</w:t>
      </w:r>
    </w:p>
    <w:p w:rsidR="0079240C" w:rsidRPr="0079240C" w:rsidRDefault="0079240C" w:rsidP="002B7F4D">
      <w:pPr>
        <w:ind w:left="4536"/>
        <w:jc w:val="both"/>
        <w:rPr>
          <w:rFonts w:ascii="Arial" w:hAnsi="Arial" w:cs="Arial"/>
          <w:sz w:val="24"/>
          <w:szCs w:val="24"/>
        </w:rPr>
      </w:pPr>
      <w:r w:rsidRPr="0079240C">
        <w:rPr>
          <w:rFonts w:ascii="Arial" w:hAnsi="Arial" w:cs="Arial"/>
          <w:sz w:val="24"/>
          <w:szCs w:val="24"/>
        </w:rPr>
        <w:t xml:space="preserve">Dispõe sobre a prestação de serviços </w:t>
      </w:r>
      <w:r w:rsidR="002B7F4D">
        <w:rPr>
          <w:rFonts w:ascii="Arial" w:hAnsi="Arial" w:cs="Arial"/>
          <w:sz w:val="24"/>
          <w:szCs w:val="24"/>
        </w:rPr>
        <w:t>f</w:t>
      </w:r>
      <w:r w:rsidRPr="0079240C">
        <w:rPr>
          <w:rFonts w:ascii="Arial" w:hAnsi="Arial" w:cs="Arial"/>
          <w:sz w:val="24"/>
          <w:szCs w:val="24"/>
        </w:rPr>
        <w:t>armacêuticos pelas farmácias e drogarias</w:t>
      </w:r>
      <w:r w:rsidR="002B7F4D">
        <w:rPr>
          <w:rFonts w:ascii="Arial" w:hAnsi="Arial" w:cs="Arial"/>
          <w:sz w:val="24"/>
          <w:szCs w:val="24"/>
        </w:rPr>
        <w:t xml:space="preserve"> com base na </w:t>
      </w:r>
      <w:r w:rsidR="002B7F4D" w:rsidRPr="008A7D5D">
        <w:rPr>
          <w:rFonts w:ascii="Arial" w:hAnsi="Arial" w:cs="Arial"/>
          <w:sz w:val="24"/>
          <w:szCs w:val="24"/>
        </w:rPr>
        <w:t xml:space="preserve">Lei Federal nº 13.021 de 11 de agosto de 2014 </w:t>
      </w:r>
      <w:r w:rsidRPr="0079240C">
        <w:rPr>
          <w:rFonts w:ascii="Arial" w:hAnsi="Arial" w:cs="Arial"/>
          <w:sz w:val="24"/>
          <w:szCs w:val="24"/>
        </w:rPr>
        <w:t>e fixa outras providencias.</w:t>
      </w:r>
    </w:p>
    <w:p w:rsidR="0048141A" w:rsidRDefault="0048141A" w:rsidP="002B7F4D">
      <w:pPr>
        <w:pStyle w:val="Corpodetexto"/>
        <w:spacing w:before="118"/>
        <w:ind w:left="301" w:firstLine="707"/>
        <w:jc w:val="both"/>
        <w:rPr>
          <w:sz w:val="24"/>
          <w:szCs w:val="24"/>
        </w:rPr>
      </w:pPr>
    </w:p>
    <w:p w:rsidR="002B7F4D" w:rsidRDefault="002B7F4D" w:rsidP="002B7F4D">
      <w:pPr>
        <w:pStyle w:val="Corpodetexto"/>
        <w:spacing w:before="118"/>
        <w:ind w:left="301" w:firstLine="707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1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As farmácias e drogarias ficam autorizadas à prestação dos seguintes serviços farmacêuticos: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EF3A98" w:rsidP="002B7F4D">
      <w:pPr>
        <w:pStyle w:val="PargrafodaLista"/>
        <w:tabs>
          <w:tab w:val="left" w:pos="1120"/>
        </w:tabs>
        <w:spacing w:before="0"/>
        <w:ind w:left="301" w:firstLine="3101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8141A" w:rsidRPr="0048141A">
        <w:rPr>
          <w:sz w:val="24"/>
          <w:szCs w:val="24"/>
        </w:rPr>
        <w:t>- aplicação de inalação ou nebulização;</w:t>
      </w:r>
    </w:p>
    <w:p w:rsidR="002B7F4D" w:rsidRPr="0079240C" w:rsidRDefault="002B7F4D" w:rsidP="002B7F4D">
      <w:pPr>
        <w:pStyle w:val="PargrafodaLista"/>
        <w:tabs>
          <w:tab w:val="left" w:pos="1120"/>
        </w:tabs>
        <w:spacing w:before="0"/>
        <w:ind w:left="301" w:firstLine="3101"/>
        <w:rPr>
          <w:b/>
          <w:sz w:val="24"/>
          <w:szCs w:val="24"/>
        </w:rPr>
      </w:pPr>
    </w:p>
    <w:p w:rsidR="0048141A" w:rsidRDefault="00EF3A98" w:rsidP="002B7F4D">
      <w:pPr>
        <w:pStyle w:val="PargrafodaLista"/>
        <w:tabs>
          <w:tab w:val="left" w:pos="1175"/>
        </w:tabs>
        <w:spacing w:before="0"/>
        <w:ind w:left="301" w:firstLine="3101"/>
        <w:rPr>
          <w:sz w:val="24"/>
          <w:szCs w:val="24"/>
        </w:rPr>
      </w:pPr>
      <w:r>
        <w:rPr>
          <w:sz w:val="24"/>
          <w:szCs w:val="24"/>
        </w:rPr>
        <w:t xml:space="preserve">II </w:t>
      </w:r>
      <w:r w:rsidR="0048141A" w:rsidRPr="0048141A">
        <w:rPr>
          <w:sz w:val="24"/>
          <w:szCs w:val="24"/>
        </w:rPr>
        <w:t xml:space="preserve">- aplicação de medicamentos injetáveis, mediante apresentação de receita médica; </w:t>
      </w:r>
    </w:p>
    <w:p w:rsidR="002B7F4D" w:rsidRDefault="002B7F4D" w:rsidP="002B7F4D">
      <w:pPr>
        <w:pStyle w:val="PargrafodaLista"/>
        <w:tabs>
          <w:tab w:val="left" w:pos="1175"/>
        </w:tabs>
        <w:spacing w:before="0"/>
        <w:ind w:left="301" w:firstLine="3101"/>
        <w:rPr>
          <w:sz w:val="24"/>
          <w:szCs w:val="24"/>
        </w:rPr>
      </w:pPr>
    </w:p>
    <w:p w:rsidR="0048141A" w:rsidRDefault="0048141A" w:rsidP="002B7F4D">
      <w:pPr>
        <w:pStyle w:val="PargrafodaLista"/>
        <w:tabs>
          <w:tab w:val="left" w:pos="1175"/>
        </w:tabs>
        <w:spacing w:before="0"/>
        <w:ind w:left="301" w:firstLine="3101"/>
        <w:rPr>
          <w:sz w:val="24"/>
          <w:szCs w:val="24"/>
        </w:rPr>
      </w:pPr>
      <w:r w:rsidRPr="0048141A">
        <w:rPr>
          <w:sz w:val="24"/>
          <w:szCs w:val="24"/>
        </w:rPr>
        <w:t>III - acompanhamento</w:t>
      </w:r>
      <w:r w:rsidRPr="0048141A">
        <w:rPr>
          <w:spacing w:val="-3"/>
          <w:sz w:val="24"/>
          <w:szCs w:val="24"/>
        </w:rPr>
        <w:t xml:space="preserve"> </w:t>
      </w:r>
      <w:proofErr w:type="spellStart"/>
      <w:r w:rsidRPr="0048141A">
        <w:rPr>
          <w:sz w:val="24"/>
          <w:szCs w:val="24"/>
        </w:rPr>
        <w:t>farmacoterapêutico</w:t>
      </w:r>
      <w:proofErr w:type="spellEnd"/>
      <w:r w:rsidRPr="0048141A">
        <w:rPr>
          <w:sz w:val="24"/>
          <w:szCs w:val="24"/>
        </w:rPr>
        <w:t>;</w:t>
      </w:r>
    </w:p>
    <w:p w:rsidR="002B7F4D" w:rsidRPr="0048141A" w:rsidRDefault="002B7F4D" w:rsidP="002B7F4D">
      <w:pPr>
        <w:pStyle w:val="PargrafodaLista"/>
        <w:tabs>
          <w:tab w:val="left" w:pos="1175"/>
        </w:tabs>
        <w:spacing w:before="0"/>
        <w:ind w:left="301" w:firstLine="3101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rPr>
          <w:sz w:val="24"/>
          <w:szCs w:val="24"/>
        </w:rPr>
      </w:pPr>
      <w:r w:rsidRPr="0048141A">
        <w:rPr>
          <w:sz w:val="24"/>
          <w:szCs w:val="24"/>
        </w:rPr>
        <w:t xml:space="preserve">IV - medição e monitoramento da pressão arterial; </w:t>
      </w:r>
    </w:p>
    <w:p w:rsidR="002B7F4D" w:rsidRDefault="002B7F4D" w:rsidP="002B7F4D">
      <w:pPr>
        <w:pStyle w:val="Corpodetexto"/>
        <w:ind w:left="301" w:firstLine="3101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rPr>
          <w:sz w:val="24"/>
          <w:szCs w:val="24"/>
        </w:rPr>
      </w:pPr>
      <w:r w:rsidRPr="0048141A">
        <w:rPr>
          <w:sz w:val="24"/>
          <w:szCs w:val="24"/>
        </w:rPr>
        <w:t>V - medição da temperatura corporal;</w:t>
      </w:r>
    </w:p>
    <w:p w:rsidR="002B7F4D" w:rsidRPr="0048141A" w:rsidRDefault="002B7F4D" w:rsidP="002B7F4D">
      <w:pPr>
        <w:pStyle w:val="Corpodetexto"/>
        <w:ind w:left="301" w:firstLine="3101"/>
        <w:rPr>
          <w:sz w:val="24"/>
          <w:szCs w:val="24"/>
        </w:rPr>
      </w:pPr>
    </w:p>
    <w:p w:rsidR="0048141A" w:rsidRDefault="00EF3A98" w:rsidP="002B7F4D">
      <w:pPr>
        <w:pStyle w:val="PargrafodaLista"/>
        <w:tabs>
          <w:tab w:val="left" w:pos="1252"/>
        </w:tabs>
        <w:spacing w:before="0"/>
        <w:ind w:left="301" w:firstLine="3101"/>
        <w:rPr>
          <w:sz w:val="24"/>
          <w:szCs w:val="24"/>
        </w:rPr>
      </w:pPr>
      <w:r>
        <w:rPr>
          <w:sz w:val="24"/>
          <w:szCs w:val="24"/>
        </w:rPr>
        <w:t xml:space="preserve">VI </w:t>
      </w:r>
      <w:r w:rsidR="0048141A" w:rsidRPr="0048141A">
        <w:rPr>
          <w:sz w:val="24"/>
          <w:szCs w:val="24"/>
        </w:rPr>
        <w:t>- medição e monitoramento da glicemia</w:t>
      </w:r>
      <w:r w:rsidR="0048141A" w:rsidRPr="0048141A">
        <w:rPr>
          <w:spacing w:val="-7"/>
          <w:sz w:val="24"/>
          <w:szCs w:val="24"/>
        </w:rPr>
        <w:t xml:space="preserve"> </w:t>
      </w:r>
      <w:r w:rsidR="0048141A" w:rsidRPr="0048141A">
        <w:rPr>
          <w:sz w:val="24"/>
          <w:szCs w:val="24"/>
        </w:rPr>
        <w:t>capilar;</w:t>
      </w:r>
    </w:p>
    <w:p w:rsidR="002B7F4D" w:rsidRPr="0048141A" w:rsidRDefault="002B7F4D" w:rsidP="002B7F4D">
      <w:pPr>
        <w:pStyle w:val="PargrafodaLista"/>
        <w:tabs>
          <w:tab w:val="left" w:pos="1252"/>
        </w:tabs>
        <w:spacing w:before="0"/>
        <w:ind w:left="301" w:firstLine="3101"/>
        <w:rPr>
          <w:sz w:val="24"/>
          <w:szCs w:val="24"/>
        </w:rPr>
      </w:pPr>
    </w:p>
    <w:p w:rsidR="0048141A" w:rsidRDefault="00EF3A98" w:rsidP="002B7F4D">
      <w:pPr>
        <w:pStyle w:val="PargrafodaLista"/>
        <w:tabs>
          <w:tab w:val="left" w:pos="1321"/>
        </w:tabs>
        <w:spacing w:before="0"/>
        <w:ind w:left="301" w:firstLine="31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</w:t>
      </w:r>
      <w:r w:rsidR="0048141A" w:rsidRPr="0048141A">
        <w:rPr>
          <w:sz w:val="24"/>
          <w:szCs w:val="24"/>
        </w:rPr>
        <w:t>- serviços de perfuração de lóbulos auricular, que deverão ser realizados mediante emprego de equipamento específico e material esterilizado, conforme normas vigentes;</w:t>
      </w:r>
      <w:r w:rsidR="0048141A" w:rsidRPr="0048141A">
        <w:rPr>
          <w:spacing w:val="-25"/>
          <w:sz w:val="24"/>
          <w:szCs w:val="24"/>
        </w:rPr>
        <w:t xml:space="preserve"> </w:t>
      </w:r>
      <w:proofErr w:type="gramStart"/>
      <w:r w:rsidR="0048141A" w:rsidRPr="0048141A">
        <w:rPr>
          <w:sz w:val="24"/>
          <w:szCs w:val="24"/>
        </w:rPr>
        <w:t>e</w:t>
      </w:r>
      <w:proofErr w:type="gramEnd"/>
    </w:p>
    <w:p w:rsidR="002B7F4D" w:rsidRPr="0048141A" w:rsidRDefault="002B7F4D" w:rsidP="002B7F4D">
      <w:pPr>
        <w:pStyle w:val="PargrafodaLista"/>
        <w:tabs>
          <w:tab w:val="left" w:pos="1321"/>
        </w:tabs>
        <w:spacing w:before="0"/>
        <w:ind w:left="301" w:firstLine="3101"/>
        <w:jc w:val="both"/>
        <w:rPr>
          <w:sz w:val="24"/>
          <w:szCs w:val="24"/>
        </w:rPr>
      </w:pPr>
    </w:p>
    <w:p w:rsidR="0048141A" w:rsidRDefault="00EF3A98" w:rsidP="002B7F4D">
      <w:pPr>
        <w:pStyle w:val="PargrafodaLista"/>
        <w:tabs>
          <w:tab w:val="left" w:pos="1362"/>
        </w:tabs>
        <w:spacing w:before="0"/>
        <w:ind w:left="301" w:firstLine="3101"/>
        <w:rPr>
          <w:sz w:val="24"/>
          <w:szCs w:val="24"/>
        </w:rPr>
      </w:pPr>
      <w:r>
        <w:rPr>
          <w:sz w:val="24"/>
          <w:szCs w:val="24"/>
        </w:rPr>
        <w:t xml:space="preserve">VIII </w:t>
      </w:r>
      <w:r w:rsidR="0048141A" w:rsidRPr="0048141A">
        <w:rPr>
          <w:sz w:val="24"/>
          <w:szCs w:val="24"/>
        </w:rPr>
        <w:t>- atenção farmacêutica, inclusive a</w:t>
      </w:r>
      <w:r w:rsidR="0048141A" w:rsidRPr="0048141A">
        <w:rPr>
          <w:spacing w:val="-4"/>
          <w:sz w:val="24"/>
          <w:szCs w:val="24"/>
        </w:rPr>
        <w:t xml:space="preserve"> </w:t>
      </w:r>
      <w:r w:rsidR="0048141A" w:rsidRPr="0048141A">
        <w:rPr>
          <w:sz w:val="24"/>
          <w:szCs w:val="24"/>
        </w:rPr>
        <w:t>domiciliar.</w:t>
      </w:r>
    </w:p>
    <w:p w:rsidR="002B7F4D" w:rsidRPr="0048141A" w:rsidRDefault="002B7F4D" w:rsidP="002B7F4D">
      <w:pPr>
        <w:pStyle w:val="PargrafodaLista"/>
        <w:tabs>
          <w:tab w:val="left" w:pos="1362"/>
        </w:tabs>
        <w:spacing w:before="0"/>
        <w:ind w:left="301" w:firstLine="3101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§1</w:t>
      </w:r>
      <w:r w:rsidRPr="002B7F4D">
        <w:rPr>
          <w:rFonts w:asciiTheme="minorHAnsi" w:hAnsiTheme="minorHAnsi"/>
          <w:sz w:val="24"/>
          <w:szCs w:val="24"/>
        </w:rPr>
        <w:t xml:space="preserve">º </w:t>
      </w:r>
      <w:r w:rsidRPr="0048141A">
        <w:rPr>
          <w:sz w:val="24"/>
          <w:szCs w:val="24"/>
        </w:rPr>
        <w:t xml:space="preserve">As farmácias e drogarias autorizadas a aplicação de medicamentos injetáveis, poderão proceder à aplicação de vacinas, </w:t>
      </w:r>
      <w:proofErr w:type="gramStart"/>
      <w:r w:rsidRPr="0048141A">
        <w:rPr>
          <w:sz w:val="24"/>
          <w:szCs w:val="24"/>
        </w:rPr>
        <w:t>sob responsabilidade</w:t>
      </w:r>
      <w:proofErr w:type="gramEnd"/>
      <w:r w:rsidRPr="0048141A">
        <w:rPr>
          <w:sz w:val="24"/>
          <w:szCs w:val="24"/>
        </w:rPr>
        <w:t xml:space="preserve"> técnica do farmacêutico, que deverá garantir o adequado armazenamento, manuseio desse produto e informar mensalmente no Boletim Mensal de Doses Aplicadas (fornecido pela Secretaria de Estado da Saúde) ao Gestor do SUS.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§2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Os medicamentos para os quais é exigida a prescrição médica devem ser administrados mediante apresentação de receita e após sua avaliação pelo farmacêutico.</w:t>
      </w:r>
    </w:p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§3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As vacinas não constantes do calendário oficial vigente somente poderão ser aplicadas mediante prescrição médica.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§4</w:t>
      </w:r>
      <w:r w:rsidRPr="002B7F4D">
        <w:rPr>
          <w:rFonts w:asciiTheme="minorHAnsi" w:hAnsiTheme="minorHAnsi"/>
          <w:sz w:val="24"/>
          <w:szCs w:val="24"/>
        </w:rPr>
        <w:t xml:space="preserve">º </w:t>
      </w:r>
      <w:r w:rsidRPr="0048141A">
        <w:rPr>
          <w:sz w:val="24"/>
          <w:szCs w:val="24"/>
        </w:rPr>
        <w:t>A autorização para prestação de serviços pelas farmácias e drogarias, especificados neste artigo, será concedida por autoridade sanitária, mediante inspeção prévia, destinada à verificação do atendimento aos requisitos regulamentares, sem prejuízo das disposições contidas em normas específicas ou complementares.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§5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Os serviços farmacêuticos prestados pelas farmácias e drogarias deverão constar do Manual de Boas Práticas Farmacêuticas e no Procedimento Operacional Padrão do estabelecimento.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§6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O farmacêutico, após a prestação de serviço, deverá fornecer ao paciente, declaração específica, em papel timbrado do estabelecimento, contendo o registro do serviço farmacêutico efetuado.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2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As farmácias e drogarias poderão participar de campanhas e programas de educação </w:t>
      </w:r>
      <w:proofErr w:type="gramStart"/>
      <w:r w:rsidRPr="0048141A">
        <w:rPr>
          <w:sz w:val="24"/>
          <w:szCs w:val="24"/>
        </w:rPr>
        <w:t>sanitária promovidos pelo Poder Público</w:t>
      </w:r>
      <w:proofErr w:type="gramEnd"/>
      <w:r w:rsidRPr="0048141A">
        <w:rPr>
          <w:sz w:val="24"/>
          <w:szCs w:val="24"/>
        </w:rPr>
        <w:t>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3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As farmácias com manipulação, assim classificadas pela legislação federal, ficam autorizadas à manipulação e à dispensação de produtos oficinais e</w:t>
      </w:r>
      <w:r w:rsidRPr="0048141A">
        <w:rPr>
          <w:spacing w:val="3"/>
          <w:sz w:val="24"/>
          <w:szCs w:val="24"/>
        </w:rPr>
        <w:t xml:space="preserve"> </w:t>
      </w:r>
      <w:r w:rsidRPr="0048141A">
        <w:rPr>
          <w:sz w:val="24"/>
          <w:szCs w:val="24"/>
        </w:rPr>
        <w:t>de medicamentos</w:t>
      </w:r>
      <w:r>
        <w:rPr>
          <w:sz w:val="24"/>
          <w:szCs w:val="24"/>
        </w:rPr>
        <w:t xml:space="preserve"> </w:t>
      </w:r>
      <w:r w:rsidRPr="0048141A">
        <w:rPr>
          <w:sz w:val="24"/>
          <w:szCs w:val="24"/>
        </w:rPr>
        <w:t>isentos de prescrição médica, mediante prescrição do profissional farmacêutico, em conformidade com as normas estabelecidas pelo Conselho Federal de Farmácia.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§1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Os medicamentos e os produtos considerados como dinamizados, homeopáticos, </w:t>
      </w:r>
      <w:proofErr w:type="spellStart"/>
      <w:r w:rsidRPr="0048141A">
        <w:rPr>
          <w:sz w:val="24"/>
          <w:szCs w:val="24"/>
        </w:rPr>
        <w:t>antroposóficos</w:t>
      </w:r>
      <w:proofErr w:type="spellEnd"/>
      <w:r w:rsidRPr="0048141A">
        <w:rPr>
          <w:sz w:val="24"/>
          <w:szCs w:val="24"/>
        </w:rPr>
        <w:t xml:space="preserve"> e </w:t>
      </w:r>
      <w:proofErr w:type="spellStart"/>
      <w:r w:rsidRPr="0048141A">
        <w:rPr>
          <w:sz w:val="24"/>
          <w:szCs w:val="24"/>
        </w:rPr>
        <w:t>anti-homotóxicos</w:t>
      </w:r>
      <w:proofErr w:type="spellEnd"/>
      <w:r w:rsidRPr="0048141A">
        <w:rPr>
          <w:sz w:val="24"/>
          <w:szCs w:val="24"/>
        </w:rPr>
        <w:t>, cuja prescrição médica é dispensada, poderão ser manipulados e dispensados pelas farmácias com manipulação, assim classificadas pela legislação federal, mediante prescrição do profissional farmacêutico, em conformidade com as normas estabelecidas pelo Conselho Federal de Farmácia.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§2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As farmácias com manipulação, assim classificadas pela legislação federal, ficam autorizadas à manipulação e à dispensação de produtos classificados como cosméticos, </w:t>
      </w:r>
      <w:proofErr w:type="spellStart"/>
      <w:r w:rsidRPr="0048141A">
        <w:rPr>
          <w:sz w:val="24"/>
          <w:szCs w:val="24"/>
        </w:rPr>
        <w:t>dermocosméticos</w:t>
      </w:r>
      <w:proofErr w:type="spellEnd"/>
      <w:r w:rsidRPr="0048141A">
        <w:rPr>
          <w:sz w:val="24"/>
          <w:szCs w:val="24"/>
        </w:rPr>
        <w:t>, perfumes, de higiene pessoal, de cuidado pessoal ou de ambiente, em conformidade com as normas vigentes.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4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Fica autorizada às farmácias e às drogarias a realização e prestação dos serviços que compõem o âmbito do profissional farmacêutico, observadas as determinações previstas na legislação e nos exatos termos estabelecidos pelo Conselho Federal de Farmácia, que regulamenta a atividade profissional farmacêutica.</w:t>
      </w:r>
    </w:p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2B7F4D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 xml:space="preserve">Parágrafo único. A realização dos serviços farmacêuticos descritos no caput deste artigo tem como objetivo permitir a efetiva prestação de serviços consistentes, visando à interação e a resposta às demandas dos usuários do sistema de saúde e a resolução dos problemas de saúde da população que </w:t>
      </w:r>
      <w:proofErr w:type="gramStart"/>
      <w:r w:rsidRPr="0048141A">
        <w:rPr>
          <w:sz w:val="24"/>
          <w:szCs w:val="24"/>
        </w:rPr>
        <w:t>envolvam</w:t>
      </w:r>
      <w:proofErr w:type="gramEnd"/>
      <w:r w:rsidRPr="0048141A">
        <w:rPr>
          <w:sz w:val="24"/>
          <w:szCs w:val="24"/>
        </w:rPr>
        <w:t xml:space="preserve"> o uso de medicamentos.</w:t>
      </w:r>
    </w:p>
    <w:p w:rsidR="002B7F4D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5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A autoridade sanitária deve explicitar na licença de funcionamento as atividades que a farmácia está apta e autorizada a executar, que deverão estar afixadas em local visível ao</w:t>
      </w:r>
      <w:r w:rsidRPr="0048141A">
        <w:rPr>
          <w:spacing w:val="-2"/>
          <w:sz w:val="24"/>
          <w:szCs w:val="24"/>
        </w:rPr>
        <w:t xml:space="preserve"> </w:t>
      </w:r>
      <w:r w:rsidRPr="0048141A">
        <w:rPr>
          <w:sz w:val="24"/>
          <w:szCs w:val="24"/>
        </w:rPr>
        <w:t>consumidor.</w:t>
      </w:r>
    </w:p>
    <w:p w:rsidR="002B7F4D" w:rsidRPr="0048141A" w:rsidRDefault="002B7F4D" w:rsidP="002B7F4D">
      <w:pPr>
        <w:pStyle w:val="Corpodetexto"/>
        <w:ind w:left="301" w:firstLine="3101"/>
        <w:jc w:val="both"/>
        <w:rPr>
          <w:sz w:val="24"/>
          <w:szCs w:val="24"/>
        </w:rPr>
      </w:pPr>
    </w:p>
    <w:p w:rsidR="0048141A" w:rsidRPr="0048141A" w:rsidRDefault="0048141A" w:rsidP="002B7F4D">
      <w:pPr>
        <w:pStyle w:val="Corpodetexto"/>
        <w:ind w:left="301" w:firstLine="3101"/>
        <w:jc w:val="both"/>
        <w:rPr>
          <w:sz w:val="24"/>
          <w:szCs w:val="24"/>
        </w:rPr>
      </w:pPr>
      <w:r w:rsidRPr="0048141A">
        <w:rPr>
          <w:sz w:val="24"/>
          <w:szCs w:val="24"/>
        </w:rPr>
        <w:t>Art. 6</w:t>
      </w:r>
      <w:r w:rsidRPr="002B7F4D">
        <w:rPr>
          <w:rFonts w:asciiTheme="minorHAnsi" w:hAnsiTheme="minorHAnsi"/>
          <w:sz w:val="24"/>
          <w:szCs w:val="24"/>
        </w:rPr>
        <w:t>º</w:t>
      </w:r>
      <w:r w:rsidRPr="0048141A">
        <w:rPr>
          <w:sz w:val="24"/>
          <w:szCs w:val="24"/>
        </w:rPr>
        <w:t xml:space="preserve"> Esta Lei entra em vigor na data da sua publicação, revogadas as disposições com contrário.</w:t>
      </w:r>
    </w:p>
    <w:p w:rsidR="0048141A" w:rsidRPr="00101B90" w:rsidRDefault="0048141A" w:rsidP="002B7F4D">
      <w:pPr>
        <w:tabs>
          <w:tab w:val="left" w:pos="709"/>
          <w:tab w:val="left" w:pos="1418"/>
        </w:tabs>
        <w:ind w:left="301" w:firstLine="3101"/>
        <w:jc w:val="both"/>
        <w:rPr>
          <w:rFonts w:asciiTheme="minorHAnsi" w:hAnsiTheme="minorHAnsi" w:cs="Arial"/>
          <w:sz w:val="24"/>
          <w:szCs w:val="24"/>
        </w:rPr>
      </w:pPr>
      <w:r w:rsidRPr="0048141A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            </w:t>
      </w:r>
    </w:p>
    <w:p w:rsidR="0048141A" w:rsidRPr="0048141A" w:rsidRDefault="0048141A" w:rsidP="002B7F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48141A">
        <w:rPr>
          <w:rFonts w:ascii="Arial" w:hAnsi="Arial" w:cs="Arial"/>
          <w:sz w:val="24"/>
          <w:szCs w:val="24"/>
        </w:rPr>
        <w:t>Sala de Sessões Plínio de Carvalho, 25 de abril de 2018.</w:t>
      </w:r>
    </w:p>
    <w:p w:rsidR="0048141A" w:rsidRPr="0048141A" w:rsidRDefault="0048141A" w:rsidP="002B7F4D">
      <w:pPr>
        <w:pStyle w:val="Corpodetexto"/>
        <w:spacing w:before="118"/>
        <w:ind w:left="1009"/>
        <w:rPr>
          <w:sz w:val="24"/>
          <w:szCs w:val="24"/>
        </w:rPr>
      </w:pPr>
    </w:p>
    <w:p w:rsidR="008C0933" w:rsidRPr="00A975D8" w:rsidRDefault="008C0933" w:rsidP="002B7F4D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2B7F4D">
      <w:pPr>
        <w:rPr>
          <w:rFonts w:asciiTheme="minorHAnsi" w:hAnsiTheme="minorHAnsi"/>
          <w:sz w:val="24"/>
          <w:szCs w:val="24"/>
        </w:rPr>
      </w:pPr>
    </w:p>
    <w:p w:rsidR="00617E3B" w:rsidRPr="00EF3A98" w:rsidRDefault="00520EB1" w:rsidP="002B7F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3A98"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617E3B" w:rsidRPr="00EF3A98" w:rsidRDefault="00617E3B" w:rsidP="002B7F4D">
      <w:pPr>
        <w:jc w:val="center"/>
        <w:rPr>
          <w:rFonts w:ascii="Arial" w:hAnsi="Arial" w:cs="Arial"/>
          <w:sz w:val="24"/>
          <w:szCs w:val="24"/>
        </w:rPr>
      </w:pPr>
      <w:r w:rsidRPr="00EF3A98">
        <w:rPr>
          <w:rFonts w:ascii="Arial" w:hAnsi="Arial" w:cs="Arial"/>
          <w:sz w:val="24"/>
          <w:szCs w:val="24"/>
        </w:rPr>
        <w:t>Vereador</w:t>
      </w:r>
      <w:r w:rsidR="00183748" w:rsidRPr="00EF3A98">
        <w:rPr>
          <w:rFonts w:ascii="Arial" w:hAnsi="Arial" w:cs="Arial"/>
          <w:sz w:val="24"/>
          <w:szCs w:val="24"/>
        </w:rPr>
        <w:t xml:space="preserve"> </w:t>
      </w:r>
    </w:p>
    <w:p w:rsidR="00D26508" w:rsidRDefault="00D26508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2B7F4D" w:rsidRDefault="002B7F4D" w:rsidP="002B7F4D">
      <w:pPr>
        <w:jc w:val="center"/>
        <w:rPr>
          <w:rFonts w:asciiTheme="minorHAnsi" w:hAnsiTheme="minorHAnsi" w:cs="Arial"/>
          <w:sz w:val="24"/>
          <w:szCs w:val="24"/>
        </w:rPr>
      </w:pPr>
    </w:p>
    <w:p w:rsidR="0079240C" w:rsidRDefault="0048141A" w:rsidP="002B7F4D">
      <w:pPr>
        <w:autoSpaceDE/>
        <w:autoSpaceDN/>
        <w:rPr>
          <w:rFonts w:ascii="Arial" w:hAnsi="Arial" w:cs="Arial"/>
          <w:sz w:val="16"/>
          <w:szCs w:val="16"/>
        </w:rPr>
      </w:pPr>
      <w:r w:rsidRPr="00EF3A98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8A7D5D" w:rsidRPr="00EF3A98">
        <w:rPr>
          <w:rFonts w:ascii="Arial" w:hAnsi="Arial" w:cs="Arial"/>
          <w:sz w:val="16"/>
          <w:szCs w:val="16"/>
        </w:rPr>
        <w:t xml:space="preserve">          </w:t>
      </w:r>
    </w:p>
    <w:p w:rsidR="008A7D5D" w:rsidRDefault="00EF3A98" w:rsidP="002B7F4D">
      <w:pPr>
        <w:autoSpaceDE/>
        <w:autoSpaceDN/>
        <w:jc w:val="center"/>
        <w:rPr>
          <w:rFonts w:ascii="Arial" w:hAnsi="Arial" w:cs="Arial"/>
          <w:b/>
          <w:sz w:val="32"/>
          <w:szCs w:val="32"/>
        </w:rPr>
      </w:pPr>
      <w:r w:rsidRPr="00EF3A98">
        <w:rPr>
          <w:rFonts w:ascii="Arial" w:hAnsi="Arial" w:cs="Arial"/>
          <w:b/>
          <w:sz w:val="32"/>
          <w:szCs w:val="32"/>
        </w:rPr>
        <w:t>JUSTIFICATIVA</w:t>
      </w:r>
    </w:p>
    <w:p w:rsidR="00EF3A98" w:rsidRPr="00EF3A98" w:rsidRDefault="00EF3A98" w:rsidP="002B7F4D">
      <w:pPr>
        <w:autoSpaceDE/>
        <w:autoSpaceDN/>
        <w:rPr>
          <w:b/>
          <w:sz w:val="32"/>
          <w:szCs w:val="32"/>
        </w:rPr>
      </w:pPr>
    </w:p>
    <w:p w:rsidR="008A7D5D" w:rsidRPr="008A7D5D" w:rsidRDefault="008A7D5D" w:rsidP="002B7F4D">
      <w:pPr>
        <w:autoSpaceDE/>
        <w:autoSpaceDN/>
        <w:jc w:val="both"/>
        <w:rPr>
          <w:b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A presente proposição tem por finalidade normatizar os serviços farmacêuticos a serem prestados em farmácias e drogarias do município de </w:t>
      </w:r>
      <w:r w:rsidR="009F3BD9">
        <w:rPr>
          <w:rFonts w:ascii="Arial" w:hAnsi="Arial" w:cs="Arial"/>
          <w:sz w:val="24"/>
          <w:szCs w:val="24"/>
        </w:rPr>
        <w:t>Araraquara</w:t>
      </w:r>
      <w:bookmarkStart w:id="0" w:name="_GoBack"/>
      <w:bookmarkEnd w:id="0"/>
      <w:r w:rsidR="0048141A" w:rsidRPr="008A7D5D">
        <w:rPr>
          <w:rFonts w:ascii="Arial" w:hAnsi="Arial" w:cs="Arial"/>
          <w:sz w:val="24"/>
          <w:szCs w:val="24"/>
        </w:rPr>
        <w:t xml:space="preserve">, ao preconizado pela Lei Federal nº 13.021 de 11 de agosto de 2014 e em consonância com os princípios que norteiam a farmácia como estabelecimento de saúde, prestador de assistência farmacêutica e promotor do uso racional de medicamentos. </w:t>
      </w:r>
    </w:p>
    <w:p w:rsid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8141A" w:rsidRPr="008A7D5D">
        <w:rPr>
          <w:rFonts w:ascii="Arial" w:hAnsi="Arial" w:cs="Arial"/>
          <w:sz w:val="24"/>
          <w:szCs w:val="24"/>
        </w:rPr>
        <w:t xml:space="preserve">Consideram-se também outras normativas federais, que regulamentam as Boas Práticas de Dispensação e Manipulação de Medicamentos e o funcionamento desses estabelecimentos, em especial: 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 w:rsidRPr="008A7D5D">
        <w:rPr>
          <w:rFonts w:ascii="Arial" w:hAnsi="Arial" w:cs="Arial"/>
          <w:sz w:val="24"/>
          <w:szCs w:val="24"/>
        </w:rPr>
        <w:t xml:space="preserve">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- Lei Federal nº 5.991 de 17 de dezembro de 1973 - Resolução da Secretaria Estadual de Saúde de São Paulo SS-24 de 08 de março de 2000; 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 w:rsidRPr="008A7D5D">
        <w:rPr>
          <w:rFonts w:ascii="Arial" w:hAnsi="Arial" w:cs="Arial"/>
          <w:sz w:val="24"/>
          <w:szCs w:val="24"/>
        </w:rPr>
        <w:t xml:space="preserve">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- Resolução do Conselho Federal de Farmácia nº 357 de 20 de abril de 2001 - Resolução da Diretoria Colegiada da </w:t>
      </w:r>
      <w:proofErr w:type="gramStart"/>
      <w:r w:rsidR="0048141A" w:rsidRPr="008A7D5D">
        <w:rPr>
          <w:rFonts w:ascii="Arial" w:hAnsi="Arial" w:cs="Arial"/>
          <w:sz w:val="24"/>
          <w:szCs w:val="24"/>
        </w:rPr>
        <w:t>Anvisa</w:t>
      </w:r>
      <w:proofErr w:type="gramEnd"/>
      <w:r w:rsidR="0048141A" w:rsidRPr="008A7D5D">
        <w:rPr>
          <w:rFonts w:ascii="Arial" w:hAnsi="Arial" w:cs="Arial"/>
          <w:sz w:val="24"/>
          <w:szCs w:val="24"/>
        </w:rPr>
        <w:t xml:space="preserve"> nº 67 de 10 de outubro de 2007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 w:rsidRPr="008A7D5D">
        <w:rPr>
          <w:rFonts w:ascii="Arial" w:hAnsi="Arial" w:cs="Arial"/>
          <w:sz w:val="24"/>
          <w:szCs w:val="24"/>
        </w:rPr>
        <w:t xml:space="preserve">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 - Resolução da Diretoria Colegiada da </w:t>
      </w:r>
      <w:proofErr w:type="gramStart"/>
      <w:r w:rsidR="0048141A" w:rsidRPr="008A7D5D">
        <w:rPr>
          <w:rFonts w:ascii="Arial" w:hAnsi="Arial" w:cs="Arial"/>
          <w:sz w:val="24"/>
          <w:szCs w:val="24"/>
        </w:rPr>
        <w:t>Anvisa</w:t>
      </w:r>
      <w:proofErr w:type="gramEnd"/>
      <w:r w:rsidR="0048141A" w:rsidRPr="008A7D5D">
        <w:rPr>
          <w:rFonts w:ascii="Arial" w:hAnsi="Arial" w:cs="Arial"/>
          <w:sz w:val="24"/>
          <w:szCs w:val="24"/>
        </w:rPr>
        <w:t xml:space="preserve"> nº 44 de 17 de agosto de 2009 - Resolução do Conselho Federal de Farmácia nº 574 de 22 de maio de 2013 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 w:rsidRPr="008A7D5D">
        <w:rPr>
          <w:rFonts w:ascii="Arial" w:hAnsi="Arial" w:cs="Arial"/>
          <w:sz w:val="24"/>
          <w:szCs w:val="24"/>
        </w:rPr>
        <w:t xml:space="preserve"> 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- Resolução do Conselho Federal de Farmácia nº 585 de 29 de agosto de </w:t>
      </w:r>
      <w:proofErr w:type="gramStart"/>
      <w:r w:rsidR="0048141A" w:rsidRPr="008A7D5D">
        <w:rPr>
          <w:rFonts w:ascii="Arial" w:hAnsi="Arial" w:cs="Arial"/>
          <w:sz w:val="24"/>
          <w:szCs w:val="24"/>
        </w:rPr>
        <w:t>2013 - Resolução</w:t>
      </w:r>
      <w:proofErr w:type="gramEnd"/>
      <w:r w:rsidR="0048141A" w:rsidRPr="008A7D5D">
        <w:rPr>
          <w:rFonts w:ascii="Arial" w:hAnsi="Arial" w:cs="Arial"/>
          <w:sz w:val="24"/>
          <w:szCs w:val="24"/>
        </w:rPr>
        <w:t xml:space="preserve"> do Conselho Federal de Farmácia nº 586 de 29 de agosto de 2013 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 w:rsidRPr="008A7D5D">
        <w:rPr>
          <w:rFonts w:ascii="Arial" w:hAnsi="Arial" w:cs="Arial"/>
          <w:sz w:val="24"/>
          <w:szCs w:val="24"/>
        </w:rPr>
        <w:t xml:space="preserve">                     </w:t>
      </w:r>
      <w:r w:rsidR="0048141A" w:rsidRPr="008A7D5D">
        <w:rPr>
          <w:rFonts w:ascii="Arial" w:hAnsi="Arial" w:cs="Arial"/>
          <w:sz w:val="24"/>
          <w:szCs w:val="24"/>
        </w:rPr>
        <w:t xml:space="preserve">- Lei Estadual de Santa Catarina nº 16.473, de 23 de setembro de </w:t>
      </w:r>
      <w:proofErr w:type="gramStart"/>
      <w:r w:rsidR="0048141A" w:rsidRPr="008A7D5D">
        <w:rPr>
          <w:rFonts w:ascii="Arial" w:hAnsi="Arial" w:cs="Arial"/>
          <w:sz w:val="24"/>
          <w:szCs w:val="24"/>
        </w:rPr>
        <w:t>2014</w:t>
      </w:r>
      <w:proofErr w:type="gramEnd"/>
      <w:r w:rsidR="0048141A" w:rsidRPr="008A7D5D">
        <w:rPr>
          <w:rFonts w:ascii="Arial" w:hAnsi="Arial" w:cs="Arial"/>
          <w:sz w:val="24"/>
          <w:szCs w:val="24"/>
        </w:rPr>
        <w:t xml:space="preserve"> </w:t>
      </w: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</w:p>
    <w:p w:rsidR="008A7D5D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48141A" w:rsidRPr="008A7D5D">
        <w:rPr>
          <w:rFonts w:ascii="Arial" w:hAnsi="Arial" w:cs="Arial"/>
          <w:sz w:val="24"/>
          <w:szCs w:val="24"/>
        </w:rPr>
        <w:t>Ressalta-se que o disposto no parágrafo 1º do artigo 1º, fundamenta-se no artigo 7º da Lei Federal nº 13.021/14, que prevê que as farmácias de qualquer natureza poderão dispor, para atendimento imediato à população, de medicamentos, vacinas e soros que atendam o perfil epidemiológico de sua região demográfica.</w:t>
      </w:r>
    </w:p>
    <w:p w:rsidR="0079240C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7677E5" w:rsidRPr="008A7D5D" w:rsidRDefault="008A7D5D" w:rsidP="002B7F4D">
      <w:pPr>
        <w:tabs>
          <w:tab w:val="left" w:pos="709"/>
          <w:tab w:val="left" w:pos="1418"/>
        </w:tabs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8141A" w:rsidRPr="008A7D5D">
        <w:rPr>
          <w:rFonts w:ascii="Arial" w:hAnsi="Arial" w:cs="Arial"/>
          <w:sz w:val="24"/>
          <w:szCs w:val="24"/>
        </w:rPr>
        <w:t xml:space="preserve">Diante do exposto, aclamo a atenção dos nobres parlamentares para análise da presente proposição para que ao fim possamos aprová-la por ser medida de interesse local relativo </w:t>
      </w:r>
      <w:proofErr w:type="gramStart"/>
      <w:r w:rsidR="0048141A" w:rsidRPr="008A7D5D">
        <w:rPr>
          <w:rFonts w:ascii="Arial" w:hAnsi="Arial" w:cs="Arial"/>
          <w:sz w:val="24"/>
          <w:szCs w:val="24"/>
        </w:rPr>
        <w:t>a</w:t>
      </w:r>
      <w:proofErr w:type="gramEnd"/>
      <w:r w:rsidR="0048141A" w:rsidRPr="008A7D5D">
        <w:rPr>
          <w:rFonts w:ascii="Arial" w:hAnsi="Arial" w:cs="Arial"/>
          <w:sz w:val="24"/>
          <w:szCs w:val="24"/>
        </w:rPr>
        <w:t xml:space="preserve"> assistência a saúde.</w:t>
      </w:r>
    </w:p>
    <w:p w:rsidR="00320540" w:rsidRPr="008A7D5D" w:rsidRDefault="00520EB1" w:rsidP="002B7F4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8A7D5D">
        <w:rPr>
          <w:rFonts w:asciiTheme="minorHAnsi" w:hAnsiTheme="minorHAnsi" w:cs="Arial"/>
          <w:sz w:val="24"/>
          <w:szCs w:val="24"/>
        </w:rPr>
        <w:tab/>
      </w:r>
    </w:p>
    <w:p w:rsidR="00320540" w:rsidRDefault="00320540" w:rsidP="002B7F4D">
      <w:pPr>
        <w:jc w:val="center"/>
        <w:rPr>
          <w:rFonts w:asciiTheme="minorHAnsi" w:hAnsiTheme="minorHAnsi"/>
          <w:sz w:val="24"/>
          <w:szCs w:val="24"/>
        </w:rPr>
      </w:pPr>
    </w:p>
    <w:p w:rsidR="008A7D5D" w:rsidRDefault="008A7D5D" w:rsidP="002B7F4D">
      <w:pPr>
        <w:jc w:val="center"/>
        <w:rPr>
          <w:rFonts w:asciiTheme="minorHAnsi" w:hAnsiTheme="minorHAnsi"/>
          <w:sz w:val="24"/>
          <w:szCs w:val="24"/>
        </w:rPr>
      </w:pPr>
    </w:p>
    <w:p w:rsidR="008A7D5D" w:rsidRPr="008A7D5D" w:rsidRDefault="008A7D5D" w:rsidP="002B7F4D">
      <w:pPr>
        <w:jc w:val="center"/>
        <w:rPr>
          <w:rFonts w:asciiTheme="minorHAnsi" w:hAnsiTheme="minorHAnsi"/>
          <w:sz w:val="24"/>
          <w:szCs w:val="24"/>
        </w:rPr>
      </w:pPr>
    </w:p>
    <w:p w:rsidR="00520EB1" w:rsidRPr="00101B90" w:rsidRDefault="00520EB1" w:rsidP="002B7F4D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EF3A98" w:rsidRDefault="00520EB1" w:rsidP="002B7F4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F3A98">
        <w:rPr>
          <w:rFonts w:ascii="Arial" w:hAnsi="Arial" w:cs="Arial"/>
          <w:b/>
          <w:bCs/>
          <w:sz w:val="24"/>
          <w:szCs w:val="24"/>
        </w:rPr>
        <w:t>GERSON DA FARMÁCIA</w:t>
      </w:r>
    </w:p>
    <w:p w:rsidR="00320540" w:rsidRPr="00EF3A98" w:rsidRDefault="00320540" w:rsidP="002B7F4D">
      <w:pPr>
        <w:jc w:val="center"/>
        <w:rPr>
          <w:rFonts w:ascii="Arial" w:hAnsi="Arial" w:cs="Arial"/>
          <w:sz w:val="24"/>
          <w:szCs w:val="24"/>
        </w:rPr>
      </w:pPr>
      <w:r w:rsidRPr="00EF3A98">
        <w:rPr>
          <w:rFonts w:ascii="Arial" w:hAnsi="Arial" w:cs="Arial"/>
          <w:sz w:val="24"/>
          <w:szCs w:val="24"/>
        </w:rPr>
        <w:t xml:space="preserve">Vereador </w:t>
      </w:r>
    </w:p>
    <w:sectPr w:rsidR="00320540" w:rsidRPr="00EF3A98" w:rsidSect="002B7F4D">
      <w:headerReference w:type="default" r:id="rId11"/>
      <w:pgSz w:w="11907" w:h="16840" w:code="9"/>
      <w:pgMar w:top="1304" w:right="1134" w:bottom="1701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C17" w:rsidRDefault="009D5C17">
      <w:r>
        <w:separator/>
      </w:r>
    </w:p>
  </w:endnote>
  <w:endnote w:type="continuationSeparator" w:id="0">
    <w:p w:rsidR="009D5C17" w:rsidRDefault="009D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C17" w:rsidRDefault="009D5C17">
      <w:r>
        <w:separator/>
      </w:r>
    </w:p>
  </w:footnote>
  <w:footnote w:type="continuationSeparator" w:id="0">
    <w:p w:rsidR="009D5C17" w:rsidRDefault="009D5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3BD9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4DC8"/>
    <w:multiLevelType w:val="hybridMultilevel"/>
    <w:tmpl w:val="92BA92EC"/>
    <w:lvl w:ilvl="0" w:tplc="02501132">
      <w:start w:val="6"/>
      <w:numFmt w:val="upperRoman"/>
      <w:lvlText w:val="%1"/>
      <w:lvlJc w:val="left"/>
      <w:pPr>
        <w:ind w:left="300" w:hanging="243"/>
      </w:pPr>
      <w:rPr>
        <w:rFonts w:ascii="Arial" w:eastAsia="Arial" w:hAnsi="Arial" w:cs="Arial" w:hint="default"/>
        <w:spacing w:val="-1"/>
        <w:w w:val="99"/>
        <w:sz w:val="20"/>
        <w:szCs w:val="20"/>
        <w:lang w:val="pt-BR" w:eastAsia="pt-BR" w:bidi="pt-BR"/>
      </w:rPr>
    </w:lvl>
    <w:lvl w:ilvl="1" w:tplc="001205C0">
      <w:numFmt w:val="bullet"/>
      <w:lvlText w:val="•"/>
      <w:lvlJc w:val="left"/>
      <w:pPr>
        <w:ind w:left="1180" w:hanging="243"/>
      </w:pPr>
      <w:rPr>
        <w:rFonts w:hint="default"/>
        <w:lang w:val="pt-BR" w:eastAsia="pt-BR" w:bidi="pt-BR"/>
      </w:rPr>
    </w:lvl>
    <w:lvl w:ilvl="2" w:tplc="089000F0">
      <w:numFmt w:val="bullet"/>
      <w:lvlText w:val="•"/>
      <w:lvlJc w:val="left"/>
      <w:pPr>
        <w:ind w:left="2061" w:hanging="243"/>
      </w:pPr>
      <w:rPr>
        <w:rFonts w:hint="default"/>
        <w:lang w:val="pt-BR" w:eastAsia="pt-BR" w:bidi="pt-BR"/>
      </w:rPr>
    </w:lvl>
    <w:lvl w:ilvl="3" w:tplc="44B0A166">
      <w:numFmt w:val="bullet"/>
      <w:lvlText w:val="•"/>
      <w:lvlJc w:val="left"/>
      <w:pPr>
        <w:ind w:left="2941" w:hanging="243"/>
      </w:pPr>
      <w:rPr>
        <w:rFonts w:hint="default"/>
        <w:lang w:val="pt-BR" w:eastAsia="pt-BR" w:bidi="pt-BR"/>
      </w:rPr>
    </w:lvl>
    <w:lvl w:ilvl="4" w:tplc="3B48CA7C">
      <w:numFmt w:val="bullet"/>
      <w:lvlText w:val="•"/>
      <w:lvlJc w:val="left"/>
      <w:pPr>
        <w:ind w:left="3822" w:hanging="243"/>
      </w:pPr>
      <w:rPr>
        <w:rFonts w:hint="default"/>
        <w:lang w:val="pt-BR" w:eastAsia="pt-BR" w:bidi="pt-BR"/>
      </w:rPr>
    </w:lvl>
    <w:lvl w:ilvl="5" w:tplc="AB38329E">
      <w:numFmt w:val="bullet"/>
      <w:lvlText w:val="•"/>
      <w:lvlJc w:val="left"/>
      <w:pPr>
        <w:ind w:left="4703" w:hanging="243"/>
      </w:pPr>
      <w:rPr>
        <w:rFonts w:hint="default"/>
        <w:lang w:val="pt-BR" w:eastAsia="pt-BR" w:bidi="pt-BR"/>
      </w:rPr>
    </w:lvl>
    <w:lvl w:ilvl="6" w:tplc="2A50B0CA">
      <w:numFmt w:val="bullet"/>
      <w:lvlText w:val="•"/>
      <w:lvlJc w:val="left"/>
      <w:pPr>
        <w:ind w:left="5583" w:hanging="243"/>
      </w:pPr>
      <w:rPr>
        <w:rFonts w:hint="default"/>
        <w:lang w:val="pt-BR" w:eastAsia="pt-BR" w:bidi="pt-BR"/>
      </w:rPr>
    </w:lvl>
    <w:lvl w:ilvl="7" w:tplc="D8DCFAE0">
      <w:numFmt w:val="bullet"/>
      <w:lvlText w:val="•"/>
      <w:lvlJc w:val="left"/>
      <w:pPr>
        <w:ind w:left="6464" w:hanging="243"/>
      </w:pPr>
      <w:rPr>
        <w:rFonts w:hint="default"/>
        <w:lang w:val="pt-BR" w:eastAsia="pt-BR" w:bidi="pt-BR"/>
      </w:rPr>
    </w:lvl>
    <w:lvl w:ilvl="8" w:tplc="F148E1DA">
      <w:numFmt w:val="bullet"/>
      <w:lvlText w:val="•"/>
      <w:lvlJc w:val="left"/>
      <w:pPr>
        <w:ind w:left="7345" w:hanging="243"/>
      </w:pPr>
      <w:rPr>
        <w:rFonts w:hint="default"/>
        <w:lang w:val="pt-BR" w:eastAsia="pt-BR" w:bidi="pt-BR"/>
      </w:rPr>
    </w:lvl>
  </w:abstractNum>
  <w:abstractNum w:abstractNumId="1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7F0B2C32"/>
    <w:multiLevelType w:val="hybridMultilevel"/>
    <w:tmpl w:val="726C37AE"/>
    <w:lvl w:ilvl="0" w:tplc="5518D3A2">
      <w:start w:val="1"/>
      <w:numFmt w:val="upperRoman"/>
      <w:lvlText w:val="%1"/>
      <w:lvlJc w:val="left"/>
      <w:pPr>
        <w:ind w:left="1009" w:hanging="111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79D0AA92">
      <w:numFmt w:val="bullet"/>
      <w:lvlText w:val="•"/>
      <w:lvlJc w:val="left"/>
      <w:pPr>
        <w:ind w:left="1810" w:hanging="111"/>
      </w:pPr>
      <w:rPr>
        <w:rFonts w:hint="default"/>
        <w:lang w:val="pt-BR" w:eastAsia="pt-BR" w:bidi="pt-BR"/>
      </w:rPr>
    </w:lvl>
    <w:lvl w:ilvl="2" w:tplc="4F0860C0">
      <w:numFmt w:val="bullet"/>
      <w:lvlText w:val="•"/>
      <w:lvlJc w:val="left"/>
      <w:pPr>
        <w:ind w:left="2621" w:hanging="111"/>
      </w:pPr>
      <w:rPr>
        <w:rFonts w:hint="default"/>
        <w:lang w:val="pt-BR" w:eastAsia="pt-BR" w:bidi="pt-BR"/>
      </w:rPr>
    </w:lvl>
    <w:lvl w:ilvl="3" w:tplc="2C2E4886">
      <w:numFmt w:val="bullet"/>
      <w:lvlText w:val="•"/>
      <w:lvlJc w:val="left"/>
      <w:pPr>
        <w:ind w:left="3431" w:hanging="111"/>
      </w:pPr>
      <w:rPr>
        <w:rFonts w:hint="default"/>
        <w:lang w:val="pt-BR" w:eastAsia="pt-BR" w:bidi="pt-BR"/>
      </w:rPr>
    </w:lvl>
    <w:lvl w:ilvl="4" w:tplc="B0F8B646">
      <w:numFmt w:val="bullet"/>
      <w:lvlText w:val="•"/>
      <w:lvlJc w:val="left"/>
      <w:pPr>
        <w:ind w:left="4242" w:hanging="111"/>
      </w:pPr>
      <w:rPr>
        <w:rFonts w:hint="default"/>
        <w:lang w:val="pt-BR" w:eastAsia="pt-BR" w:bidi="pt-BR"/>
      </w:rPr>
    </w:lvl>
    <w:lvl w:ilvl="5" w:tplc="2946F174">
      <w:numFmt w:val="bullet"/>
      <w:lvlText w:val="•"/>
      <w:lvlJc w:val="left"/>
      <w:pPr>
        <w:ind w:left="5053" w:hanging="111"/>
      </w:pPr>
      <w:rPr>
        <w:rFonts w:hint="default"/>
        <w:lang w:val="pt-BR" w:eastAsia="pt-BR" w:bidi="pt-BR"/>
      </w:rPr>
    </w:lvl>
    <w:lvl w:ilvl="6" w:tplc="952C374A">
      <w:numFmt w:val="bullet"/>
      <w:lvlText w:val="•"/>
      <w:lvlJc w:val="left"/>
      <w:pPr>
        <w:ind w:left="5863" w:hanging="111"/>
      </w:pPr>
      <w:rPr>
        <w:rFonts w:hint="default"/>
        <w:lang w:val="pt-BR" w:eastAsia="pt-BR" w:bidi="pt-BR"/>
      </w:rPr>
    </w:lvl>
    <w:lvl w:ilvl="7" w:tplc="8D545E28">
      <w:numFmt w:val="bullet"/>
      <w:lvlText w:val="•"/>
      <w:lvlJc w:val="left"/>
      <w:pPr>
        <w:ind w:left="6674" w:hanging="111"/>
      </w:pPr>
      <w:rPr>
        <w:rFonts w:hint="default"/>
        <w:lang w:val="pt-BR" w:eastAsia="pt-BR" w:bidi="pt-BR"/>
      </w:rPr>
    </w:lvl>
    <w:lvl w:ilvl="8" w:tplc="AC12DD88">
      <w:numFmt w:val="bullet"/>
      <w:lvlText w:val="•"/>
      <w:lvlJc w:val="left"/>
      <w:pPr>
        <w:ind w:left="7485" w:hanging="111"/>
      </w:pPr>
      <w:rPr>
        <w:rFonts w:hint="default"/>
        <w:lang w:val="pt-BR" w:eastAsia="pt-BR" w:bidi="pt-BR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6FA2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1934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B7F4D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0C47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141A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0EB1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240C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7D5D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409E"/>
    <w:rsid w:val="009C15D5"/>
    <w:rsid w:val="009C263F"/>
    <w:rsid w:val="009C2AF6"/>
    <w:rsid w:val="009C752D"/>
    <w:rsid w:val="009D327D"/>
    <w:rsid w:val="009D4C5B"/>
    <w:rsid w:val="009D5C17"/>
    <w:rsid w:val="009D7ED1"/>
    <w:rsid w:val="009F3BD9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174C0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EF3A98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8141A"/>
    <w:pPr>
      <w:widowControl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8141A"/>
    <w:rPr>
      <w:rFonts w:ascii="Arial" w:eastAsia="Arial" w:hAnsi="Arial" w:cs="Arial"/>
      <w:lang w:bidi="pt-BR"/>
    </w:rPr>
  </w:style>
  <w:style w:type="paragraph" w:styleId="PargrafodaLista">
    <w:name w:val="List Paragraph"/>
    <w:basedOn w:val="Normal"/>
    <w:uiPriority w:val="1"/>
    <w:qFormat/>
    <w:rsid w:val="0048141A"/>
    <w:pPr>
      <w:widowControl w:val="0"/>
      <w:spacing w:before="121"/>
      <w:ind w:left="300"/>
    </w:pPr>
    <w:rPr>
      <w:rFonts w:ascii="Arial" w:eastAsia="Arial" w:hAnsi="Arial" w:cs="Arial"/>
      <w:sz w:val="22"/>
      <w:szCs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48141A"/>
    <w:pPr>
      <w:widowControl w:val="0"/>
    </w:pPr>
    <w:rPr>
      <w:rFonts w:ascii="Arial" w:eastAsia="Arial" w:hAnsi="Arial" w:cs="Arial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48141A"/>
    <w:rPr>
      <w:rFonts w:ascii="Arial" w:eastAsia="Arial" w:hAnsi="Arial" w:cs="Arial"/>
      <w:lang w:bidi="pt-BR"/>
    </w:rPr>
  </w:style>
  <w:style w:type="paragraph" w:styleId="PargrafodaLista">
    <w:name w:val="List Paragraph"/>
    <w:basedOn w:val="Normal"/>
    <w:uiPriority w:val="1"/>
    <w:qFormat/>
    <w:rsid w:val="0048141A"/>
    <w:pPr>
      <w:widowControl w:val="0"/>
      <w:spacing w:before="121"/>
      <w:ind w:left="300"/>
    </w:pPr>
    <w:rPr>
      <w:rFonts w:ascii="Arial" w:eastAsia="Arial" w:hAnsi="Arial" w:cs="Arial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5A949-A024-4918-BAFB-2247A2E4C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5731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Gerson Roza de Freitas</cp:lastModifiedBy>
  <cp:revision>2</cp:revision>
  <cp:lastPrinted>2018-04-25T15:52:00Z</cp:lastPrinted>
  <dcterms:created xsi:type="dcterms:W3CDTF">2018-04-26T13:07:00Z</dcterms:created>
  <dcterms:modified xsi:type="dcterms:W3CDTF">2018-04-26T13:07:00Z</dcterms:modified>
</cp:coreProperties>
</file>