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2551C">
        <w:rPr>
          <w:rFonts w:ascii="Arial" w:hAnsi="Arial" w:cs="Arial"/>
          <w:sz w:val="24"/>
          <w:szCs w:val="24"/>
        </w:rPr>
        <w:t>06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2551C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110950">
        <w:rPr>
          <w:rFonts w:ascii="Arial" w:hAnsi="Arial" w:cs="Arial"/>
          <w:sz w:val="24"/>
          <w:szCs w:val="24"/>
        </w:rPr>
        <w:t xml:space="preserve">Substitutivo ao </w:t>
      </w:r>
      <w:r w:rsidR="00CE7817" w:rsidRPr="00EF7583">
        <w:rPr>
          <w:rFonts w:ascii="Arial" w:hAnsi="Arial" w:cs="Arial"/>
          <w:sz w:val="24"/>
          <w:szCs w:val="24"/>
        </w:rPr>
        <w:t xml:space="preserve">Projeto de Lei nº </w:t>
      </w:r>
      <w:r w:rsidR="00D2551C">
        <w:rPr>
          <w:rFonts w:ascii="Arial" w:hAnsi="Arial" w:cs="Arial"/>
          <w:sz w:val="24"/>
          <w:szCs w:val="24"/>
        </w:rPr>
        <w:t>027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2551C">
        <w:rPr>
          <w:b/>
          <w:bCs/>
          <w:sz w:val="32"/>
          <w:szCs w:val="32"/>
        </w:rPr>
        <w:t>027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110950" w:rsidRPr="00EF7583" w:rsidRDefault="00110950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11095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110950">
        <w:rPr>
          <w:rFonts w:ascii="Arial" w:hAnsi="Arial" w:cs="Arial"/>
          <w:sz w:val="22"/>
          <w:szCs w:val="22"/>
        </w:rPr>
        <w:t>Altera dispositivos da Lei nº 8.318, de 02 de outubro de 2014; institui equipes para desenvolvimento de políticas de recursos humanos, e dá outras providências.</w:t>
      </w:r>
    </w:p>
    <w:p w:rsid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EF7583" w:rsidRDefault="00110950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>SEÇÃO I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>DAS ALTERAÇÕES NA LEI Nº 8.318, DE 02 DE OUTUBRO DE 2014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Art. 1º A Lei nº 8.318, de 02 de outubro de 2014, passa a vigorar com as seguintes alterações: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I – no § 3º do art. 3º: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>“Art. 3º ...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>...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>§ 3º Não farão jus à participação em sorteios o Chefe do Executivo, Vice-Prefeito, Secretários das pastas da administração municipal, bem como os servidores municipais lotados na Coordenadoria Executiva de Planejamento, da Secretaria Municipal de Planejamento e Participação Popular; na Coordenadoria Executiva de Administração Tributária; na Coordenadoria Executiva de Consolidação da Dívida Ativa e na Coordenadoria Executiva Financeira, da Secretaria Municipal de Gestão e Finanças; e na Controladoria Geral do Município.” (NR)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II – no art. 4º: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>“Art. 4º Cabe à Secretaria Municipal de Gestão e Finanças, à Secretaria Municipal de Planejamento e Participação Popular e à Controladoria Geral do Município de Araraquara a fiscalização dos atos de realização dos sorteios e seus desdobramentos, devendo, dentre outras providências, suspender ou cancelar a realização dos mesmos, quando houver indícios de irregularidades.” (NR)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lastRenderedPageBreak/>
        <w:tab/>
      </w:r>
      <w:r w:rsidRPr="00110950">
        <w:rPr>
          <w:rFonts w:ascii="Arial" w:hAnsi="Arial" w:cs="Arial"/>
          <w:sz w:val="24"/>
          <w:szCs w:val="24"/>
        </w:rPr>
        <w:tab/>
        <w:t>III – no art. 5º: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>“Art. 5º Com a implantação do “Programa”, os servidores efetivos lotados na Coordenadoria Executiva de Planejamento, da Secretaria Municipal de Planejamento e Participação Popular; na Coordenadoria Executiva de Administração Tributária, na Coordenadoria Executiva de Consolidação da Dívida Ativa e na Coordenadoria Executiva Financeira, da Secretaria Municipal de Gestão e Finanças; e na Controladoria Geral do Município receberão um incentivo a título de gratificação pecuniária sobre seus vencimentos.” (NR)</w:t>
      </w:r>
    </w:p>
    <w:p w:rsid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>SEÇÃO II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>DA INSTITUIÇÃO DE EQUIPES PARA DESENVOLVIMENTO DE POLÍTICAS DE RECURSOS HUMANOS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Art. 2º São instituídas equipes de trabalho designadas para a formulação de uma política de recursos humanos, focada na maior eficiência do serviço, visando à valorização, capacitação, acolhimento e humanização no trato com os servidores municipais.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Parágrafo único. Tais equipes serão formadas por servidores efetivos lotados na Gerência de Desenvolvimento de Recursos Humanos.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Art. 3º As equipes de trabalho referidas no art. 2º contarão com um grupo de apoio, formado por servidores lotados na Gerência de Desenvolvimento de Recursos Humanos, com a finalidade de dar suporte administrativo às referidas equipes.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Art. 4º A designação das equipes de trabalho e do grupo de apoio será feita mediante ato do Chefe do Executivo, a partir de indicação formulada pelo titular da Gerência de Desenvolvimento de Recursos Humanos e/ou pelo titular da Coordenadoria Executiva de Recursos Humanos.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Art. 5º As funções das equipes de trabalho e do grupo de apoio serão exercidas concomitantemente e sem prejuízo das demais atribuições de cada servidor na Gerência de Desenvolvimento de Recursos Humanos.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Art. 6º Ficam instituídas as seguintes gratificações pecuniárias devidas aos integrantes das equipes, a serem pagas mensalmente, juntamente com os respectivos vencimentos: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I - para cada membro da equipe de trabalho: gratificação mínima no valor de R$ 533,00 (quinhentos e trinta e três reais) e máxima no valor de R$ 1.066,00 (mil e sessenta e seis reais);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lastRenderedPageBreak/>
        <w:tab/>
      </w:r>
      <w:r w:rsidRPr="00110950">
        <w:rPr>
          <w:rFonts w:ascii="Arial" w:hAnsi="Arial" w:cs="Arial"/>
          <w:sz w:val="24"/>
          <w:szCs w:val="24"/>
        </w:rPr>
        <w:tab/>
        <w:t>II - para cada membro do grupo de apoio: gratificação mínima no valor de R$ 426,40 (quatrocentos e vinte e seis reais e quarenta centavos) e máxima no valor de R$ 959,40 (novecentos e cinquenta e nove reais e quarenta centavos).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§ 1º Os valores referidos nos incisos do ‘caput’ deste artigo serão reajustados de acordo com o reajuste anual dos servidores.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§ 2º O pagamento da gratificação referida neste artigo ocorrerá mediante avaliação da Coordenadoria Executiva de Recursos Humanos e da Gerência de Desenvolvimento de Recursos Humanos, tendo em vista o desenvolvimento de atividades de: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I - treinamento e desenvolvimento de servidores;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II - capacitação e formação de servidores por Secretaria ou unidade;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III – realizações de plantões de recursos humanos nas Secretarias (RH itinerante);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IV – desenvolvimento de um canal “RH expresso”;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V – atuação em processos de contratação e levantamento de necessidades dos servidores;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VI – desenvolvimento de programa de integração dos servidores;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VII – outras atividades que forem compatíveis com a política de desenvolvimento de recursos humanos a ser adotada pelo Poder Executivo.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§ 3º Durante o desenvolvimento das atividades referidas no § 2º, a Coordenadoria Executiva de Recursos Humanos e a Gerência de Desenvolvimento de Recursos Humanos avaliarão os membros das equipes, atribuindo-lhes, individualmente, pontuações decorrentes de sua atuação, considerando, dentre outros elementos, seu/sua: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I – produtividade;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II – interesse;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 xml:space="preserve">III – </w:t>
      </w:r>
      <w:proofErr w:type="spellStart"/>
      <w:r w:rsidRPr="00110950">
        <w:rPr>
          <w:rFonts w:ascii="Arial" w:hAnsi="Arial" w:cs="Arial"/>
          <w:sz w:val="24"/>
          <w:szCs w:val="24"/>
        </w:rPr>
        <w:t>proatividade</w:t>
      </w:r>
      <w:proofErr w:type="spellEnd"/>
      <w:r w:rsidRPr="00110950">
        <w:rPr>
          <w:rFonts w:ascii="Arial" w:hAnsi="Arial" w:cs="Arial"/>
          <w:sz w:val="24"/>
          <w:szCs w:val="24"/>
        </w:rPr>
        <w:t>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IV - capacidade de prevenção, mediação e solução de conflitos;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V – trabalho em equipe;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VI – pontualidade;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VII – assiduidade;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VIII - aptidão para a formulação de novas propostas.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§ 4º A avaliação referida no § 3º será feita em formulário próprio, constante do regulamento desta lei.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Art. 7º Esta lei será regulamentará no prazo de 30 (trinta) dias a contar da sua entrada em vigor.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tab/>
      </w:r>
      <w:r w:rsidRPr="00110950">
        <w:rPr>
          <w:rFonts w:ascii="Arial" w:hAnsi="Arial" w:cs="Arial"/>
          <w:sz w:val="24"/>
          <w:szCs w:val="24"/>
        </w:rPr>
        <w:tab/>
        <w:t>Art. 8º As despesas decorrentes da execução desta lei correrão por conta de dotações orçamentárias próprias, suplementadas se necessário.</w:t>
      </w:r>
    </w:p>
    <w:p w:rsidR="00110950" w:rsidRPr="00110950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10950">
        <w:rPr>
          <w:rFonts w:ascii="Arial" w:hAnsi="Arial" w:cs="Arial"/>
          <w:sz w:val="24"/>
          <w:szCs w:val="24"/>
        </w:rPr>
        <w:lastRenderedPageBreak/>
        <w:tab/>
      </w:r>
      <w:r w:rsidRPr="00110950">
        <w:rPr>
          <w:rFonts w:ascii="Arial" w:hAnsi="Arial" w:cs="Arial"/>
          <w:sz w:val="24"/>
          <w:szCs w:val="24"/>
        </w:rPr>
        <w:tab/>
        <w:t>Art. 9º Esta lei entra em vigor na data de sua publicação.</w:t>
      </w:r>
    </w:p>
    <w:p w:rsidR="00110950" w:rsidRPr="00CC2294" w:rsidRDefault="00110950" w:rsidP="00110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950">
          <w:rPr>
            <w:noProof/>
          </w:rPr>
          <w:t>4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10950"/>
    <w:rsid w:val="00177DCD"/>
    <w:rsid w:val="001A3CC5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4722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2551C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61</cp:revision>
  <cp:lastPrinted>1998-11-10T17:41:00Z</cp:lastPrinted>
  <dcterms:created xsi:type="dcterms:W3CDTF">2017-03-28T14:59:00Z</dcterms:created>
  <dcterms:modified xsi:type="dcterms:W3CDTF">2018-02-06T19:21:00Z</dcterms:modified>
</cp:coreProperties>
</file>