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0152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0631F">
        <w:rPr>
          <w:rFonts w:ascii="Tahoma" w:hAnsi="Tahoma" w:cs="Tahoma"/>
          <w:b/>
          <w:sz w:val="32"/>
          <w:szCs w:val="32"/>
          <w:u w:val="single"/>
        </w:rPr>
        <w:t>027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0631F">
        <w:rPr>
          <w:rFonts w:ascii="Tahoma" w:hAnsi="Tahoma" w:cs="Tahoma"/>
          <w:b/>
          <w:sz w:val="32"/>
          <w:szCs w:val="32"/>
          <w:u w:val="single"/>
        </w:rPr>
        <w:t>020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0631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0631F">
        <w:rPr>
          <w:rFonts w:ascii="Calibri" w:hAnsi="Calibri" w:cs="Calibri"/>
          <w:sz w:val="22"/>
          <w:szCs w:val="22"/>
        </w:rPr>
        <w:t>Dispõe sobre a desafetação e alienação de imóvel do patrimônio público.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0631F" w:rsidRDefault="00B0631F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631F">
        <w:rPr>
          <w:rFonts w:ascii="Calibri" w:hAnsi="Calibri" w:cs="Calibri"/>
          <w:sz w:val="24"/>
          <w:szCs w:val="24"/>
        </w:rPr>
        <w:t>Art. 1º Fica desafetado da classe de bens de uso comum do povo, para enquadramento na classe de bens dominicais, o imóvel registrado sob a matrícula nº 111.445 do 1º C</w:t>
      </w:r>
      <w:r>
        <w:rPr>
          <w:rFonts w:ascii="Calibri" w:hAnsi="Calibri" w:cs="Calibri"/>
          <w:sz w:val="24"/>
          <w:szCs w:val="24"/>
        </w:rPr>
        <w:t>artório de Registro de Imóveis</w:t>
      </w:r>
      <w:r w:rsidRPr="00B0631F">
        <w:rPr>
          <w:rFonts w:ascii="Calibri" w:hAnsi="Calibri" w:cs="Calibri"/>
          <w:sz w:val="24"/>
          <w:szCs w:val="24"/>
        </w:rPr>
        <w:t>, localizado no Jardim São Rafael.</w:t>
      </w:r>
    </w:p>
    <w:p w:rsidR="00B0631F" w:rsidRPr="00B0631F" w:rsidRDefault="00B0631F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0631F" w:rsidRDefault="00B0631F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631F">
        <w:rPr>
          <w:rFonts w:ascii="Calibri" w:hAnsi="Calibri" w:cs="Calibri"/>
          <w:sz w:val="24"/>
          <w:szCs w:val="24"/>
        </w:rPr>
        <w:t xml:space="preserve">Art. 2º Fica o Poder Executivo autorizado a alienar o </w:t>
      </w:r>
      <w:r>
        <w:rPr>
          <w:rFonts w:ascii="Calibri" w:hAnsi="Calibri" w:cs="Calibri"/>
          <w:sz w:val="24"/>
          <w:szCs w:val="24"/>
        </w:rPr>
        <w:t>imóvel citado no art. 1º</w:t>
      </w:r>
      <w:r w:rsidRPr="00B0631F">
        <w:rPr>
          <w:rFonts w:ascii="Calibri" w:hAnsi="Calibri" w:cs="Calibri"/>
          <w:sz w:val="24"/>
          <w:szCs w:val="24"/>
        </w:rPr>
        <w:t xml:space="preserve"> mediante licitação, na modalidade concorrência.</w:t>
      </w:r>
    </w:p>
    <w:p w:rsidR="00B0631F" w:rsidRPr="00B0631F" w:rsidRDefault="00B0631F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0631F" w:rsidRDefault="00B0631F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0631F">
        <w:rPr>
          <w:rFonts w:ascii="Calibri" w:hAnsi="Calibri" w:cs="Calibri"/>
          <w:sz w:val="24"/>
          <w:szCs w:val="24"/>
        </w:rPr>
        <w:t xml:space="preserve">Parágrafo único. A alienação de que trata o </w:t>
      </w:r>
      <w:r>
        <w:rPr>
          <w:rFonts w:ascii="Calibri" w:hAnsi="Calibri" w:cs="Calibri"/>
          <w:sz w:val="24"/>
          <w:szCs w:val="24"/>
        </w:rPr>
        <w:t>‘</w:t>
      </w:r>
      <w:r w:rsidRPr="00B0631F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’</w:t>
      </w:r>
      <w:r w:rsidRPr="00B0631F">
        <w:rPr>
          <w:rFonts w:ascii="Calibri" w:hAnsi="Calibri" w:cs="Calibri"/>
          <w:sz w:val="24"/>
          <w:szCs w:val="24"/>
        </w:rPr>
        <w:t xml:space="preserve"> deste artigo será </w:t>
      </w:r>
      <w:r>
        <w:rPr>
          <w:rFonts w:ascii="Calibri" w:hAnsi="Calibri" w:cs="Calibri"/>
          <w:sz w:val="24"/>
          <w:szCs w:val="24"/>
        </w:rPr>
        <w:t>‘</w:t>
      </w:r>
      <w:r w:rsidRPr="00B0631F">
        <w:rPr>
          <w:rFonts w:ascii="Calibri" w:hAnsi="Calibri" w:cs="Calibri"/>
          <w:sz w:val="24"/>
          <w:szCs w:val="24"/>
        </w:rPr>
        <w:t>ad corpus</w:t>
      </w:r>
      <w:r>
        <w:rPr>
          <w:rFonts w:ascii="Calibri" w:hAnsi="Calibri" w:cs="Calibri"/>
          <w:sz w:val="24"/>
          <w:szCs w:val="24"/>
        </w:rPr>
        <w:t>’</w:t>
      </w:r>
      <w:r w:rsidRPr="00B0631F">
        <w:rPr>
          <w:rFonts w:ascii="Calibri" w:hAnsi="Calibri" w:cs="Calibri"/>
          <w:sz w:val="24"/>
          <w:szCs w:val="24"/>
        </w:rPr>
        <w:t xml:space="preserve">, conforme o </w:t>
      </w:r>
      <w:r>
        <w:rPr>
          <w:rFonts w:ascii="Calibri" w:hAnsi="Calibri" w:cs="Calibri"/>
          <w:sz w:val="24"/>
          <w:szCs w:val="24"/>
        </w:rPr>
        <w:t xml:space="preserve">§ 3º do art. 500 </w:t>
      </w:r>
      <w:r w:rsidRPr="00B0631F">
        <w:rPr>
          <w:rFonts w:ascii="Calibri" w:hAnsi="Calibri" w:cs="Calibri"/>
          <w:sz w:val="24"/>
          <w:szCs w:val="24"/>
        </w:rPr>
        <w:t>da Lei Federal nº 10.406, de 10 de janeiro de 20</w:t>
      </w:r>
      <w:r>
        <w:rPr>
          <w:rFonts w:ascii="Calibri" w:hAnsi="Calibri" w:cs="Calibri"/>
          <w:sz w:val="24"/>
          <w:szCs w:val="24"/>
        </w:rPr>
        <w:t>0</w:t>
      </w:r>
      <w:r w:rsidRPr="00B0631F">
        <w:rPr>
          <w:rFonts w:ascii="Calibri" w:hAnsi="Calibri" w:cs="Calibri"/>
          <w:sz w:val="24"/>
          <w:szCs w:val="24"/>
        </w:rPr>
        <w:t>2.</w:t>
      </w:r>
    </w:p>
    <w:p w:rsidR="009C78CE" w:rsidRPr="00B0631F" w:rsidRDefault="009C78CE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0631F" w:rsidRDefault="009C78CE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0631F" w:rsidRPr="00B0631F">
        <w:rPr>
          <w:rFonts w:ascii="Calibri" w:hAnsi="Calibri" w:cs="Calibri"/>
          <w:sz w:val="24"/>
          <w:szCs w:val="24"/>
        </w:rPr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9C78CE" w:rsidRPr="00B0631F" w:rsidRDefault="009C78CE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0631F" w:rsidRDefault="009C78CE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</w:t>
      </w:r>
      <w:r w:rsidR="00B0631F" w:rsidRPr="00B0631F">
        <w:rPr>
          <w:rFonts w:ascii="Calibri" w:hAnsi="Calibri" w:cs="Calibri"/>
          <w:sz w:val="24"/>
          <w:szCs w:val="24"/>
        </w:rPr>
        <w:t xml:space="preserve"> A receita decorrente da alienação referida no art</w:t>
      </w:r>
      <w:r>
        <w:rPr>
          <w:rFonts w:ascii="Calibri" w:hAnsi="Calibri" w:cs="Calibri"/>
          <w:sz w:val="24"/>
          <w:szCs w:val="24"/>
        </w:rPr>
        <w:t>.</w:t>
      </w:r>
      <w:r w:rsidR="00B0631F" w:rsidRPr="00B0631F">
        <w:rPr>
          <w:rFonts w:ascii="Calibri" w:hAnsi="Calibri" w:cs="Calibri"/>
          <w:sz w:val="24"/>
          <w:szCs w:val="24"/>
        </w:rPr>
        <w:t xml:space="preserve"> 2º desta </w:t>
      </w:r>
      <w:r>
        <w:rPr>
          <w:rFonts w:ascii="Calibri" w:hAnsi="Calibri" w:cs="Calibri"/>
          <w:sz w:val="24"/>
          <w:szCs w:val="24"/>
        </w:rPr>
        <w:t>l</w:t>
      </w:r>
      <w:r w:rsidR="00B0631F" w:rsidRPr="00B0631F">
        <w:rPr>
          <w:rFonts w:ascii="Calibri" w:hAnsi="Calibri" w:cs="Calibri"/>
          <w:sz w:val="24"/>
          <w:szCs w:val="24"/>
        </w:rPr>
        <w:t>ei não financiará despesa corrente.</w:t>
      </w:r>
    </w:p>
    <w:p w:rsidR="009C78CE" w:rsidRPr="00B0631F" w:rsidRDefault="009C78CE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C78CE" w:rsidP="00B063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0631F" w:rsidRPr="00B0631F">
        <w:rPr>
          <w:rFonts w:ascii="Calibri" w:hAnsi="Calibri" w:cs="Calibri"/>
          <w:sz w:val="24"/>
          <w:szCs w:val="24"/>
        </w:rPr>
        <w:t xml:space="preserve">Art. 5º Esta </w:t>
      </w:r>
      <w:r>
        <w:rPr>
          <w:rFonts w:ascii="Calibri" w:hAnsi="Calibri" w:cs="Calibri"/>
          <w:sz w:val="24"/>
          <w:szCs w:val="24"/>
        </w:rPr>
        <w:t>l</w:t>
      </w:r>
      <w:r w:rsidR="00B0631F" w:rsidRPr="00B0631F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F386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F386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152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0152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1523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78CE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0631F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93</cp:revision>
  <cp:lastPrinted>2017-04-25T15:43:00Z</cp:lastPrinted>
  <dcterms:created xsi:type="dcterms:W3CDTF">2016-08-16T19:55:00Z</dcterms:created>
  <dcterms:modified xsi:type="dcterms:W3CDTF">2018-02-06T18:55:00Z</dcterms:modified>
</cp:coreProperties>
</file>