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D5" w:rsidRDefault="0069168C" w:rsidP="009A797C">
      <w:pPr>
        <w:pStyle w:val="Cabealho"/>
        <w:rPr>
          <w:rFonts w:ascii="Trajan" w:hAnsi="Trajan"/>
          <w:color w:val="3889AE"/>
          <w:spacing w:val="22"/>
          <w:sz w:val="2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-143510</wp:posOffset>
            </wp:positionV>
            <wp:extent cx="798195" cy="878205"/>
            <wp:effectExtent l="0" t="0" r="1905" b="0"/>
            <wp:wrapSquare wrapText="bothSides"/>
            <wp:docPr id="3" name="Imagem 2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5D5" w:rsidRDefault="000D75D5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Pr="000D75D5">
        <w:t xml:space="preserve"> </w:t>
      </w:r>
      <w:r w:rsidRPr="000D75D5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0D75D5" w:rsidRDefault="000D75D5" w:rsidP="000D75D5">
      <w:pPr>
        <w:pStyle w:val="Cabealho"/>
      </w:pPr>
    </w:p>
    <w:p w:rsidR="00C06142" w:rsidRPr="00A83EC7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RESOLUÇÃO NÚMERO 4</w:t>
      </w:r>
      <w:r w:rsidR="004030D9">
        <w:rPr>
          <w:rFonts w:ascii="Tahoma" w:hAnsi="Tahoma" w:cs="Tahoma"/>
          <w:b/>
          <w:bCs/>
          <w:sz w:val="32"/>
          <w:szCs w:val="32"/>
          <w:u w:val="single"/>
        </w:rPr>
        <w:t>3</w:t>
      </w:r>
      <w:r w:rsidR="0069168C">
        <w:rPr>
          <w:rFonts w:ascii="Tahoma" w:hAnsi="Tahoma" w:cs="Tahoma"/>
          <w:b/>
          <w:bCs/>
          <w:sz w:val="32"/>
          <w:szCs w:val="32"/>
          <w:u w:val="single"/>
        </w:rPr>
        <w:t>7</w:t>
      </w:r>
    </w:p>
    <w:p w:rsidR="00C06142" w:rsidRDefault="00C06142" w:rsidP="00393C4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4030D9">
        <w:rPr>
          <w:rFonts w:ascii="Tahoma" w:hAnsi="Tahoma" w:cs="Tahoma"/>
          <w:sz w:val="32"/>
          <w:szCs w:val="32"/>
        </w:rPr>
        <w:t>1</w:t>
      </w:r>
      <w:r w:rsidR="0069168C">
        <w:rPr>
          <w:rFonts w:ascii="Tahoma" w:hAnsi="Tahoma" w:cs="Tahoma"/>
          <w:sz w:val="32"/>
          <w:szCs w:val="32"/>
        </w:rPr>
        <w:t>6</w:t>
      </w:r>
      <w:r>
        <w:rPr>
          <w:rFonts w:ascii="Tahoma" w:hAnsi="Tahoma" w:cs="Tahoma"/>
          <w:sz w:val="32"/>
          <w:szCs w:val="32"/>
        </w:rPr>
        <w:t xml:space="preserve"> de </w:t>
      </w:r>
      <w:r w:rsidR="004030D9">
        <w:rPr>
          <w:rFonts w:ascii="Tahoma" w:hAnsi="Tahoma" w:cs="Tahoma"/>
          <w:sz w:val="32"/>
          <w:szCs w:val="32"/>
        </w:rPr>
        <w:t>janei</w:t>
      </w:r>
      <w:r w:rsidR="003D7273">
        <w:rPr>
          <w:rFonts w:ascii="Tahoma" w:hAnsi="Tahoma" w:cs="Tahoma"/>
          <w:sz w:val="32"/>
          <w:szCs w:val="32"/>
        </w:rPr>
        <w:t xml:space="preserve">ro </w:t>
      </w:r>
      <w:r>
        <w:rPr>
          <w:rFonts w:ascii="Tahoma" w:hAnsi="Tahoma" w:cs="Tahoma"/>
          <w:sz w:val="32"/>
          <w:szCs w:val="32"/>
        </w:rPr>
        <w:t>de 201</w:t>
      </w:r>
      <w:r w:rsidR="0069168C">
        <w:rPr>
          <w:rFonts w:ascii="Tahoma" w:hAnsi="Tahoma" w:cs="Tahoma"/>
          <w:sz w:val="32"/>
          <w:szCs w:val="32"/>
        </w:rPr>
        <w:t>8</w:t>
      </w:r>
    </w:p>
    <w:p w:rsidR="00C06142" w:rsidRPr="00A83EC7" w:rsidRDefault="004030D9" w:rsidP="00393C44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Iniciativa</w:t>
      </w:r>
      <w:r w:rsidR="00C06142">
        <w:rPr>
          <w:rFonts w:ascii="Tahoma" w:hAnsi="Tahoma" w:cs="Tahoma"/>
          <w:b/>
          <w:bCs/>
          <w:sz w:val="32"/>
          <w:szCs w:val="32"/>
        </w:rPr>
        <w:t xml:space="preserve">: </w:t>
      </w:r>
      <w:r w:rsidR="0069168C">
        <w:rPr>
          <w:rFonts w:ascii="Tahoma" w:hAnsi="Tahoma" w:cs="Tahoma"/>
          <w:b/>
          <w:bCs/>
          <w:sz w:val="32"/>
          <w:szCs w:val="32"/>
        </w:rPr>
        <w:t>MESA DA CÂMARA MUNICIPAL DE ARARAQUARA</w:t>
      </w: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652DB3" w:rsidRDefault="0069168C" w:rsidP="00652DB3">
      <w:pPr>
        <w:ind w:left="4678"/>
        <w:jc w:val="both"/>
        <w:rPr>
          <w:rFonts w:ascii="Calibri" w:hAnsi="Calibri" w:cs="Calibri"/>
        </w:rPr>
      </w:pPr>
      <w:r w:rsidRPr="0069168C">
        <w:rPr>
          <w:rFonts w:ascii="Calibri" w:hAnsi="Calibri" w:cs="Calibri"/>
        </w:rPr>
        <w:t>Regulamenta a organização administrativa da Câmara Municipal de Araraquara.</w:t>
      </w: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="003B5389">
        <w:rPr>
          <w:rFonts w:ascii="Calibri" w:hAnsi="Calibri" w:cs="Calibri"/>
          <w:bCs/>
          <w:i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>O PRESIDENTE deste Legislativo, usando da atribuição que lhe é conferida pel</w:t>
      </w:r>
      <w:r w:rsidR="00845D08">
        <w:rPr>
          <w:rFonts w:ascii="Calibri" w:hAnsi="Calibri" w:cs="Calibri"/>
          <w:sz w:val="24"/>
          <w:szCs w:val="24"/>
        </w:rPr>
        <w:t xml:space="preserve">a alínea </w:t>
      </w:r>
      <w:r w:rsidR="00845D08">
        <w:rPr>
          <w:rFonts w:ascii="Calibri" w:hAnsi="Calibri" w:cs="Calibri"/>
          <w:i/>
          <w:sz w:val="24"/>
          <w:szCs w:val="24"/>
        </w:rPr>
        <w:t xml:space="preserve">g </w:t>
      </w:r>
      <w:r w:rsidR="00845D08">
        <w:rPr>
          <w:rFonts w:ascii="Calibri" w:hAnsi="Calibri" w:cs="Calibri"/>
          <w:sz w:val="24"/>
          <w:szCs w:val="24"/>
        </w:rPr>
        <w:t>do inciso II d</w:t>
      </w:r>
      <w:r w:rsidRPr="000C27D0">
        <w:rPr>
          <w:rFonts w:ascii="Calibri" w:hAnsi="Calibri" w:cs="Calibri"/>
          <w:sz w:val="24"/>
          <w:szCs w:val="24"/>
        </w:rPr>
        <w:t>o artigo 32</w:t>
      </w:r>
      <w:r w:rsidR="00845D08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Pr="000C27D0">
        <w:rPr>
          <w:rFonts w:ascii="Calibri" w:hAnsi="Calibri" w:cs="Calibri"/>
          <w:sz w:val="24"/>
          <w:szCs w:val="24"/>
        </w:rPr>
        <w:t xml:space="preserve">, </w:t>
      </w:r>
      <w:r w:rsidR="00845D08">
        <w:rPr>
          <w:rFonts w:ascii="Calibri" w:hAnsi="Calibri" w:cs="Calibri"/>
          <w:sz w:val="24"/>
          <w:szCs w:val="24"/>
        </w:rPr>
        <w:t>anexo à</w:t>
      </w:r>
      <w:r w:rsidRPr="000C27D0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</w:t>
      </w:r>
      <w:r>
        <w:rPr>
          <w:rFonts w:ascii="Calibri" w:hAnsi="Calibri" w:cs="Calibri"/>
          <w:sz w:val="24"/>
          <w:szCs w:val="24"/>
        </w:rPr>
        <w:t xml:space="preserve">rio em sessão ordinária de </w:t>
      </w:r>
      <w:r w:rsidR="00814EC1">
        <w:rPr>
          <w:rFonts w:ascii="Calibri" w:hAnsi="Calibri" w:cs="Calibri"/>
          <w:sz w:val="24"/>
          <w:szCs w:val="24"/>
        </w:rPr>
        <w:t>1</w:t>
      </w:r>
      <w:r w:rsidR="0069168C">
        <w:rPr>
          <w:rFonts w:ascii="Calibri" w:hAnsi="Calibri" w:cs="Calibri"/>
          <w:sz w:val="24"/>
          <w:szCs w:val="24"/>
        </w:rPr>
        <w:t>6</w:t>
      </w:r>
      <w:r w:rsidR="003D7273"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 xml:space="preserve">de </w:t>
      </w:r>
      <w:r w:rsidR="004030D9">
        <w:rPr>
          <w:rFonts w:ascii="Calibri" w:hAnsi="Calibri" w:cs="Calibri"/>
          <w:sz w:val="24"/>
          <w:szCs w:val="24"/>
        </w:rPr>
        <w:t>janei</w:t>
      </w:r>
      <w:r w:rsidR="003D7273">
        <w:rPr>
          <w:rFonts w:ascii="Calibri" w:hAnsi="Calibri" w:cs="Calibri"/>
          <w:sz w:val="24"/>
          <w:szCs w:val="24"/>
        </w:rPr>
        <w:t xml:space="preserve">ro </w:t>
      </w:r>
      <w:r w:rsidRPr="000C27D0">
        <w:rPr>
          <w:rFonts w:ascii="Calibri" w:hAnsi="Calibri" w:cs="Calibri"/>
          <w:sz w:val="24"/>
          <w:szCs w:val="24"/>
        </w:rPr>
        <w:t>de 201</w:t>
      </w:r>
      <w:r w:rsidR="0069168C">
        <w:rPr>
          <w:rFonts w:ascii="Calibri" w:hAnsi="Calibri" w:cs="Calibri"/>
          <w:sz w:val="24"/>
          <w:szCs w:val="24"/>
        </w:rPr>
        <w:t>8</w:t>
      </w:r>
      <w:r w:rsidRPr="000C27D0">
        <w:rPr>
          <w:rFonts w:ascii="Calibri" w:hAnsi="Calibri" w:cs="Calibri"/>
          <w:sz w:val="24"/>
          <w:szCs w:val="24"/>
        </w:rPr>
        <w:t>, promulga a seguinte</w:t>
      </w:r>
    </w:p>
    <w:p w:rsidR="00C06142" w:rsidRPr="009D0CF1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0C27D0">
        <w:rPr>
          <w:rFonts w:ascii="Tahoma" w:hAnsi="Tahoma" w:cs="Tahoma"/>
          <w:b/>
          <w:bCs/>
          <w:sz w:val="32"/>
          <w:szCs w:val="32"/>
          <w:u w:val="single"/>
        </w:rPr>
        <w:t>RESOLUÇÃO</w:t>
      </w:r>
    </w:p>
    <w:p w:rsidR="00DE2CC1" w:rsidRPr="00DE2CC1" w:rsidRDefault="00C06142" w:rsidP="00DE2CC1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tab/>
      </w:r>
      <w:r w:rsidR="00DE2CC1" w:rsidRPr="00DE2CC1">
        <w:rPr>
          <w:rFonts w:ascii="Calibri" w:hAnsi="Calibri" w:cs="Calibri"/>
          <w:sz w:val="24"/>
          <w:szCs w:val="24"/>
        </w:rPr>
        <w:t xml:space="preserve"> </w:t>
      </w:r>
    </w:p>
    <w:p w:rsidR="003B5389" w:rsidRDefault="003B5389" w:rsidP="006916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B5389">
        <w:rPr>
          <w:rFonts w:ascii="Calibri" w:hAnsi="Calibri" w:cs="Calibri"/>
          <w:sz w:val="24"/>
          <w:szCs w:val="24"/>
        </w:rPr>
        <w:t xml:space="preserve">Art. 1º </w:t>
      </w:r>
      <w:r w:rsidR="0069168C" w:rsidRPr="0069168C">
        <w:rPr>
          <w:rFonts w:ascii="Calibri" w:hAnsi="Calibri" w:cs="Calibri"/>
          <w:sz w:val="24"/>
          <w:szCs w:val="24"/>
        </w:rPr>
        <w:t>Esta Resolução dispõe sobre a organização administrativa da Câmara Municipal de Araraquara, nos termos disciplinados pela Lei Municipal nº 9.152, de 06 de dezembro de 2017.</w:t>
      </w:r>
    </w:p>
    <w:p w:rsidR="0069168C" w:rsidRPr="003B5389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B5389" w:rsidRDefault="003B5389" w:rsidP="006916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9168C" w:rsidRPr="0069168C">
        <w:rPr>
          <w:rFonts w:ascii="Calibri" w:hAnsi="Calibri" w:cs="Calibri"/>
          <w:sz w:val="24"/>
          <w:szCs w:val="24"/>
        </w:rPr>
        <w:t>Art. 2º A estrutura administrativa da Câmara Municipal é organizada à luz dos princípios da legalidade, impessoalidade, moralidade, publicidade e eficiência, visando a garantir a prestação de serviços públicos de qualidade ao cidadão.</w:t>
      </w:r>
    </w:p>
    <w:p w:rsidR="0069168C" w:rsidRPr="003B5389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9168C" w:rsidRPr="0069168C" w:rsidRDefault="003B5389" w:rsidP="006916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3B538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9168C" w:rsidRPr="0069168C">
        <w:rPr>
          <w:rFonts w:ascii="Calibri" w:hAnsi="Calibri" w:cs="Calibri"/>
          <w:sz w:val="24"/>
          <w:szCs w:val="24"/>
        </w:rPr>
        <w:t>Art. 3º A Câmara Municipal de Araraquara organiza sua estrutura administrativa em conformidade com as seguintes dimensões de funcionamento:</w:t>
      </w:r>
    </w:p>
    <w:p w:rsidR="0069168C" w:rsidRP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 xml:space="preserve">I </w:t>
      </w:r>
      <w:r w:rsidR="008E70FF" w:rsidRPr="0069168C">
        <w:rPr>
          <w:rFonts w:ascii="Calibri" w:hAnsi="Calibri" w:cs="Calibri"/>
          <w:sz w:val="24"/>
          <w:szCs w:val="24"/>
        </w:rPr>
        <w:t>– Estrutura</w:t>
      </w:r>
      <w:r w:rsidRPr="0069168C">
        <w:rPr>
          <w:rFonts w:ascii="Calibri" w:hAnsi="Calibri" w:cs="Calibri"/>
          <w:sz w:val="24"/>
          <w:szCs w:val="24"/>
        </w:rPr>
        <w:t xml:space="preserve"> administrativo-institucional da Câmara Municipal;</w:t>
      </w:r>
    </w:p>
    <w:p w:rsidR="003B5389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II – Estrutura Político-Parlamentar.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</w:p>
    <w:p w:rsidR="0069168C" w:rsidRP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4"/>
        </w:rPr>
      </w:pPr>
      <w:r w:rsidRPr="0069168C">
        <w:rPr>
          <w:rFonts w:ascii="Calibri" w:hAnsi="Calibri" w:cs="Calibri"/>
          <w:b/>
          <w:sz w:val="24"/>
          <w:szCs w:val="24"/>
        </w:rPr>
        <w:t>SEÇÃO I</w:t>
      </w:r>
    </w:p>
    <w:p w:rsidR="0069168C" w:rsidRP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4"/>
        </w:rPr>
      </w:pPr>
      <w:r w:rsidRPr="0069168C">
        <w:rPr>
          <w:rFonts w:ascii="Calibri" w:hAnsi="Calibri" w:cs="Calibri"/>
          <w:b/>
          <w:sz w:val="24"/>
          <w:szCs w:val="24"/>
        </w:rPr>
        <w:t>DA ESTRUTURA INSTITUCIONAL DA CÂMARA MUNICIPAL</w:t>
      </w:r>
    </w:p>
    <w:p w:rsidR="003B5389" w:rsidRPr="003B5389" w:rsidRDefault="003B5389" w:rsidP="003B5389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Calibri"/>
          <w:sz w:val="24"/>
          <w:szCs w:val="24"/>
        </w:rPr>
      </w:pPr>
      <w:r w:rsidRPr="003B5389">
        <w:rPr>
          <w:rFonts w:ascii="Calibri" w:hAnsi="Calibri" w:cs="Calibri"/>
          <w:sz w:val="24"/>
          <w:szCs w:val="24"/>
        </w:rPr>
        <w:t xml:space="preserve">                                          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Art. 4º A Câmara Municipal é representada pela sua Presidência, à qual se sujeitam as seguintes unidades administrativas: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I – Assessoria da Presidência;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 xml:space="preserve">II – Controladoria; 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 xml:space="preserve">III – Gabinete da Presidência; 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IV – Ouvidoria.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§ 1º Compete à Assessoria da Presidência: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I – auxiliar na supervisão quanto ao cumprimento das metas institucionais pela Câmara Municipal de Araraquara, promovendo estudos e produzindo relatórios de atuação, inclusive quanto aos requisitos do Sistema de Gestão de Qualidade;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II – organizar a agenda e o cotidiano da Presidência, especialmente quanto a suas atividades como representante institucional do Poder Legislativo Municipal;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lastRenderedPageBreak/>
        <w:t>III – promover a comunicação institucional da Casa, ou seja, processos correlacionados à interlocução e representação da Câmara junto a outros órgãos, Poderes ou entes federativos, bem como perante a sociedade civil;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 xml:space="preserve">IV – promover assessoramento de nível superior à Presidência da Câmara, auxiliando-a na coordenação das atividades da Câmara Municipal e na </w:t>
      </w:r>
      <w:proofErr w:type="gramStart"/>
      <w:r w:rsidRPr="0069168C">
        <w:rPr>
          <w:rFonts w:ascii="Calibri" w:hAnsi="Calibri" w:cs="Calibri"/>
          <w:sz w:val="24"/>
          <w:szCs w:val="24"/>
        </w:rPr>
        <w:t>implementação</w:t>
      </w:r>
      <w:proofErr w:type="gramEnd"/>
      <w:r w:rsidRPr="0069168C">
        <w:rPr>
          <w:rFonts w:ascii="Calibri" w:hAnsi="Calibri" w:cs="Calibri"/>
          <w:sz w:val="24"/>
          <w:szCs w:val="24"/>
        </w:rPr>
        <w:t xml:space="preserve"> da agenda institucional do órgão legislativo.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§ 2º Compete à Controladoria: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I – apoiar o Controle Externo no exercício de sua missão constitucional;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II – avaliar o cumprimento da execução dos programas de investimentos e do orçamento da Câmara Municipal;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III – controlar a legalidade e avaliar os resultados quanto à eficácia da gestão orçamentária, financeira e patrimonial da Câmara;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IV – elaborar e submeter ao Presidente estudos, propostas de diretrizes, programas e ações que objetivam a racionalização da execução da despesa e o aperfeiçoamento da gestão orçamentária, financeira e patrimonial;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V – exercer o controle das operações de crédito, dos avais e garantias, bem como dos direitos e dos deveres da Câmara;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VI – fomentar a organização, atualização e disponibilização, aos interessados, de todos os atos administrativos da Câmara;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VII – supervisionar e executar a programação trimestral de auditoria contábil, financeira, orçamentária e patrimonial nas unidades administrativas da Câmara;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VIII – zelar e acompanhar o cumprimento de prazos administrativos;</w:t>
      </w:r>
    </w:p>
    <w:p w:rsidR="0069168C" w:rsidRDefault="0069168C" w:rsidP="006916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IX – zelar e acompanhar os processos e procedimentos junto ao Tribunal de Contas.</w:t>
      </w:r>
    </w:p>
    <w:p w:rsidR="008E70FF" w:rsidRDefault="0069168C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§ 3º Compete ao Gabinete da Presidência:</w:t>
      </w:r>
    </w:p>
    <w:p w:rsidR="008E70FF" w:rsidRDefault="0069168C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I – agendar e organizar reuniões, audiências e outros compromissos do titular, providenciando a pauta e os convites aos participantes;</w:t>
      </w:r>
    </w:p>
    <w:p w:rsidR="008E70FF" w:rsidRDefault="0069168C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II – atender e prestar esclarecimentos aos que os procuram;</w:t>
      </w:r>
    </w:p>
    <w:p w:rsidR="008E70FF" w:rsidRDefault="0069168C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III – auxiliar o parlamentar nas matérias legislativas de seu interesse;</w:t>
      </w:r>
      <w:r w:rsidR="008E70FF">
        <w:rPr>
          <w:rFonts w:ascii="Calibri" w:hAnsi="Calibri" w:cs="Calibri"/>
          <w:sz w:val="24"/>
          <w:szCs w:val="24"/>
        </w:rPr>
        <w:t xml:space="preserve"> </w:t>
      </w:r>
    </w:p>
    <w:p w:rsidR="008E70FF" w:rsidRDefault="0069168C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IV – efetuar o controle das pautas das sessões e de proposições legislativas de interesse deste;</w:t>
      </w:r>
    </w:p>
    <w:p w:rsidR="008E70FF" w:rsidRDefault="0069168C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V – elaborar e expedir correspondências próprias;</w:t>
      </w:r>
    </w:p>
    <w:p w:rsidR="008E70FF" w:rsidRDefault="0069168C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VI – manter arquivo das correspondências recebidas e expedidas e de outros documentos de interesse deste;</w:t>
      </w:r>
    </w:p>
    <w:p w:rsidR="008E70FF" w:rsidRDefault="0069168C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VII – executar outras tarefas determinadas pelo titular e inerentes às atribuições deste.</w:t>
      </w:r>
    </w:p>
    <w:p w:rsidR="008E70FF" w:rsidRDefault="0069168C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 xml:space="preserve">§ 4º Compete à Ouvidoria: </w:t>
      </w:r>
    </w:p>
    <w:p w:rsidR="008E70FF" w:rsidRDefault="0069168C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I – encaminhar à Mesa Diretora denúncias que entenda carecedoras de investigação mais complexa ou de competência da Câmara;</w:t>
      </w:r>
    </w:p>
    <w:p w:rsidR="008E70FF" w:rsidRDefault="0069168C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 xml:space="preserve">II – receber e recolher, em cada unidade administrativa da Câmara, as sugestões, reclamações ou representações recebidas que digam respeito ao funcionamento ou eficiência dos serviços da Câmara, tanto aqueles afetos à competência dos seus servidores quanto à dos vereadores; </w:t>
      </w:r>
    </w:p>
    <w:p w:rsidR="008E70FF" w:rsidRDefault="0069168C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III – receber e se manifestar ou encaminhar para manifestação pelo setor competente da Câmara quaisquer outros assuntos julgados de interesse do cidadão inerentes às atribuições da Câmara Municipal;</w:t>
      </w:r>
    </w:p>
    <w:p w:rsidR="003B5389" w:rsidRDefault="0069168C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69168C">
        <w:rPr>
          <w:rFonts w:ascii="Calibri" w:hAnsi="Calibri" w:cs="Calibri"/>
          <w:sz w:val="24"/>
          <w:szCs w:val="24"/>
        </w:rPr>
        <w:t>IV – verificar a legalidade de atos ou abuso de poder, dando andamento às providências a serem adotadas.</w:t>
      </w:r>
    </w:p>
    <w:p w:rsid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4"/>
        </w:rPr>
      </w:pPr>
      <w:r w:rsidRPr="008E70FF">
        <w:rPr>
          <w:rFonts w:ascii="Calibri" w:hAnsi="Calibri" w:cs="Calibri"/>
          <w:b/>
          <w:sz w:val="24"/>
          <w:szCs w:val="24"/>
        </w:rPr>
        <w:t>SEÇÃO II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4"/>
        </w:rPr>
      </w:pPr>
      <w:r w:rsidRPr="008E70FF">
        <w:rPr>
          <w:rFonts w:ascii="Calibri" w:hAnsi="Calibri" w:cs="Calibri"/>
          <w:b/>
          <w:sz w:val="24"/>
          <w:szCs w:val="24"/>
        </w:rPr>
        <w:t>DA ESTRUTURA ADMINISTRATIVA DA CÂMARA MUNICIPAL</w:t>
      </w:r>
    </w:p>
    <w:p w:rsidR="008E70FF" w:rsidRPr="003B5389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Art. 5º A estrutura administrativa da Câmara Municipal de Araraquara, voltada ao desempenho de serviços administrativos e suporte técnico do processo legislativo, é constituída pelos seguintes órgãos, subordinados à Presidência da Câmara: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§ 1º Diretoria de Comunicação Social, integrada por: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 – Gerência de Eventos e Cerimonial;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 – Gerência de Imprensa e TV Câmara.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§ 2º Escola do Legislativo, assessorada por unidade de Assistência Técnica.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§ 3º Procuradoria;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§ 4º Secretaria Geral, assessorada por unidade de Assistência Técnica e integrada por: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 – Diretoria de Finanças;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 – Diretoria de Suporte Administrativo, composta por: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a) Gerência de Gestão de Compras e Materiais.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b) Gerência de Gestão de Informação;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c) Gerência de Gestão de Patrimônio e Serviços;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d) Gerência de Gestão de Pessoal;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III – Diretoria</w:t>
      </w:r>
      <w:r>
        <w:rPr>
          <w:rFonts w:ascii="Calibri" w:hAnsi="Calibri" w:cs="Calibri"/>
          <w:sz w:val="24"/>
          <w:szCs w:val="24"/>
        </w:rPr>
        <w:t xml:space="preserve"> Legislativa, composta por:</w:t>
      </w:r>
      <w:r w:rsidRPr="008E70FF">
        <w:rPr>
          <w:rFonts w:ascii="Calibri" w:hAnsi="Calibri" w:cs="Calibri"/>
          <w:sz w:val="24"/>
          <w:szCs w:val="24"/>
        </w:rPr>
        <w:t xml:space="preserve">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a) Gerência de Consultoria Legislativa;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b) Gerência de Expediente Legislativo.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IV – Gerência de Tecnologia da Informação e;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 – Gerência de Transportes.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Art. 6º Compete à Diretoria de Comunicação Social: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 – coordenar a produção de material gráfico de apoio a eventos e campanhas institucionais;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 – coordenar e executar as atividades da TV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III – definir a operacionalização dos sistemas de informações digitais para os públicos interno e externo;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IV – desempenhar serviço de cerimonial;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 – fornecer à imprensa informações sobre as atividades e matérias que tramitam na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 – organizar o calendário de eventos da Câmara</w:t>
      </w:r>
      <w:proofErr w:type="gramStart"/>
      <w:r w:rsidRPr="008E70FF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8E70FF">
        <w:rPr>
          <w:rFonts w:ascii="Calibri" w:hAnsi="Calibri" w:cs="Calibri"/>
          <w:sz w:val="24"/>
          <w:szCs w:val="24"/>
        </w:rPr>
        <w:t>e a reserva de dependências da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 – planejar e coordenar a produção e a edição de publicações e programas na mídia;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VIII – programar e organizar visitas oficiais, bem como recepcionar autoridades e visitantes;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IX – promover a cobertura das atividades da Câmara para divulgação;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X – promover a política de comunicação institucional da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XI – promover as atividades de comunicação necessárias a integrar a Câmara à comunidade do Município;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XII – elaborar, manter e atualizar o cadastro de correspondentes da Câmara M</w:t>
      </w:r>
      <w:r>
        <w:rPr>
          <w:rFonts w:ascii="Calibri" w:hAnsi="Calibri" w:cs="Calibri"/>
          <w:sz w:val="24"/>
          <w:szCs w:val="24"/>
        </w:rPr>
        <w:t>u</w:t>
      </w:r>
      <w:r w:rsidRPr="008E70FF">
        <w:rPr>
          <w:rFonts w:ascii="Calibri" w:hAnsi="Calibri" w:cs="Calibri"/>
          <w:sz w:val="24"/>
          <w:szCs w:val="24"/>
        </w:rPr>
        <w:t>nicipal;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XIII – coordenar e supervisionar as requisições para aquisição de bens e serviços que guardem pertinência temática às suas funções e às funções das unidades que lhe são subordinadas;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lastRenderedPageBreak/>
        <w:t>XIV – fiscalizar a fiel execução dos contratos decorrentes da aquisição de bens e serviços que ela ou suas unidades subordinadas requisitarem.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§ 1º Compete à Gerência de Eventos e Cerimonial: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 – conduzir a representação presidencial, observando as normas de segurança, protocolo e cerimonial;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 – programar e organizar visitas oficiais, bem como recepcionar autoridades e visitantes;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III – promover</w:t>
      </w:r>
      <w:proofErr w:type="gramStart"/>
      <w:r w:rsidRPr="008E70FF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8E70FF">
        <w:rPr>
          <w:rFonts w:ascii="Calibri" w:hAnsi="Calibri" w:cs="Calibri"/>
          <w:sz w:val="24"/>
          <w:szCs w:val="24"/>
        </w:rPr>
        <w:t xml:space="preserve">as atividades do Cerimonial nas solenidades e eventos promovidos pela Câmara;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IV – organizar o calendário de eventos da Câmara e a reserva de dependências da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 – executar a realização de eventos, gerenciando espaços e equipes necessários à sua realização;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 – executar outras atividades correlatas.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§ 2º Compete à Gerência de Imprensa e TV Câmara: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 – executar as atividades afetas à produção de material gráfico de apoio a eventos e campanhas da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 – executar atividades concernentes à TV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III – planejar e executar ações de comunicação em mídias digitais, assessorando as demais unidades da Câmara na utilização desses recursos;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IV – auxiliar na disponibilização e produção de informações sobre as atividades e matérias que tramitam na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 – executar a produção e a edição de publicações e programas na mídia;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 – promover a cobertura das atividades da Câmara para divulgação;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 –</w:t>
      </w:r>
      <w:proofErr w:type="gramStart"/>
      <w:r w:rsidRPr="008E70FF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8E70FF">
        <w:rPr>
          <w:rFonts w:ascii="Calibri" w:hAnsi="Calibri" w:cs="Calibri"/>
          <w:sz w:val="24"/>
          <w:szCs w:val="24"/>
        </w:rPr>
        <w:t>editar boletins internos e para divulgação externa;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VIII – executar outras atividades correlatas.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Art. 7º Compete à Escola do Legislativo: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I – contribuir para a divulgação da finalidade institucional do Poder Legislativo Municipal e contribuir na identificação de demandas a serem atendidas pelos </w:t>
      </w:r>
      <w:proofErr w:type="gramStart"/>
      <w:r w:rsidRPr="008E70FF">
        <w:rPr>
          <w:rFonts w:ascii="Calibri" w:hAnsi="Calibri" w:cs="Calibri"/>
          <w:sz w:val="24"/>
          <w:szCs w:val="24"/>
        </w:rPr>
        <w:t>edis</w:t>
      </w:r>
      <w:proofErr w:type="gramEnd"/>
      <w:r w:rsidRPr="008E70FF">
        <w:rPr>
          <w:rFonts w:ascii="Calibri" w:hAnsi="Calibri" w:cs="Calibri"/>
          <w:sz w:val="24"/>
          <w:szCs w:val="24"/>
        </w:rPr>
        <w:t>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 – incentivar a pesquisa técnico-acadêmica voltada à Câmara Municipal em parceria com outras instituições de ensino;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III – manter contatos permanentes com associações de classe, sindicatos e organizações populares, por meio da realização de pesquisas, verificando suas reivindicações e sugestões para subsidiar a atuação da Câmara Municipal de Araraquara;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IV – organizar eventos, seminários e encontros pedagógicos e educacionais;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 – projetar programas pedagógicos, cursos e palestras, fomentando a formação e qualificação de entes políticos e comunitários;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 – propor convênios e parcerias com programas estaduais e federais de divulgação das atividades legislativas e de capacitação comunitária e social;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 – coordenar e supervisionar as requisições para aquisição de bens e serviços que guardem pertinência temática às suas funções e às funções das unidades que lhe são subordinadas;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VIII – fiscalizar a fiel execução dos contratos decorrentes da aquisição de bens e serviços que ela ou suas unidades subordinadas requisitarem.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Parágrafo único. Compete à Assistência Técnica da Escola do Legislativo: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I – assistir a unidade no planejamento, coordenação, programação e </w:t>
      </w:r>
      <w:proofErr w:type="gramStart"/>
      <w:r w:rsidRPr="008E70FF">
        <w:rPr>
          <w:rFonts w:ascii="Calibri" w:hAnsi="Calibri" w:cs="Calibri"/>
          <w:sz w:val="24"/>
          <w:szCs w:val="24"/>
        </w:rPr>
        <w:t>implementação</w:t>
      </w:r>
      <w:proofErr w:type="gramEnd"/>
      <w:r w:rsidRPr="008E70FF">
        <w:rPr>
          <w:rFonts w:ascii="Calibri" w:hAnsi="Calibri" w:cs="Calibri"/>
          <w:sz w:val="24"/>
          <w:szCs w:val="24"/>
        </w:rPr>
        <w:t xml:space="preserve"> de ações e resultados, bem como na operacionalização de processos de natureza técnica inerentes à sua área de atuação;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lastRenderedPageBreak/>
        <w:t xml:space="preserve">II – prestar assistência técnica na coordenação e gerenciamento da </w:t>
      </w:r>
      <w:proofErr w:type="gramStart"/>
      <w:r w:rsidRPr="008E70FF">
        <w:rPr>
          <w:rFonts w:ascii="Calibri" w:hAnsi="Calibri" w:cs="Calibri"/>
          <w:sz w:val="24"/>
          <w:szCs w:val="24"/>
        </w:rPr>
        <w:t>implementação</w:t>
      </w:r>
      <w:proofErr w:type="gramEnd"/>
      <w:r w:rsidRPr="008E70FF">
        <w:rPr>
          <w:rFonts w:ascii="Calibri" w:hAnsi="Calibri" w:cs="Calibri"/>
          <w:sz w:val="24"/>
          <w:szCs w:val="24"/>
        </w:rPr>
        <w:t xml:space="preserve"> de políticas e atividades realizadas pela Escola do Legislativo;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III – garantir suporte técnico e administrativo à Escola do Legislativo;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IV – executar outras atividades correlatas.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Art. 8º Compete à Procuradoria: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 – desempenhar serviço de apoio jurídico às unidades, que compreende: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a) análise das minutas dos editais e contratos administrativos, bem como emissão de parecer sobre a possibilidade de dispensa ou de inexigibilidade de licitação e aditamento de contratos, com base nas justificativas apresentadas pelas áreas requisitantes;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b) assessoramento à Comissão Permanente de Licitações, bem como exame prévio de toda instrução relativa à formalização dos contratos, concessões, acordos, ajustes ou convênios nos quais a Câmara seja parte, cuidando dos aspectos jurídicos e da redação dos mesmos;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c) apoiar e auxiliar na realização de sindicâncias e processos administrativos instaurados pela autoridade competente, nos termos da legislação vigente;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d) orientação, quanto aos aspectos da constitucionalidade e legalidade, nas ações administrativas.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 – desempenhar serviço de assistência judicial e extrajudicial, que compreende: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a) coordenar a propositura de ações judiciais e outras medidas de caráter jurídico que tenham por objetivo o interesse institucional da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b) dar adequada redação às informações que devam ser prestadas pela Câmara em quaisquer processos judiciais;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c) elaborar defesas e recursos em processos administrativos e judiciais;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d) praticar quaisquer atos junto aos Órgãos do Judiciário e do Ministério Público, na defesa dos interesses da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e) representar a Câmara, em juízo ou fora dele, na defesa de seus direitos e interesses;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III – prestar serviço de consultoria jurídica afeta às atividade-meio da Câmara.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Art. 9º Compete à </w:t>
      </w:r>
      <w:proofErr w:type="spellStart"/>
      <w:r w:rsidRPr="008E70FF">
        <w:rPr>
          <w:rFonts w:ascii="Calibri" w:hAnsi="Calibri" w:cs="Calibri"/>
          <w:sz w:val="24"/>
          <w:szCs w:val="24"/>
        </w:rPr>
        <w:t>Secretaria-Geral</w:t>
      </w:r>
      <w:proofErr w:type="spellEnd"/>
      <w:r w:rsidRPr="008E70FF">
        <w:rPr>
          <w:rFonts w:ascii="Calibri" w:hAnsi="Calibri" w:cs="Calibri"/>
          <w:sz w:val="24"/>
          <w:szCs w:val="24"/>
        </w:rPr>
        <w:t xml:space="preserve">: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I – auxiliar a Mesa Diretora na gestão administrativa da Câmara Municipal, supervisionando o funcionamento das unidades que lhe são direta e imediatamente subordinadas;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 – coordenar estudos, com o auxílio das unidades que lhe são subordinadas, que visem a aumentar a eficiência administrativa da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III – elaborar relatórios públicos sobre a atuação administrativa da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IV – fazer cumprir, pelas unidades administrativas da Câmara, os atos e as normas atinentes à Câmara Municipal;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V – participar na elaboração de propostas e minutas concernentes à organização e ao funcionamento administrativo da Câmara;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 – coordenar e supervisionar as requisições para aquisição de bens e serviços que guardem pertinência temática às suas funções e às funções das unidades que lhe são subordinadas;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 – fiscalizar a fiel execução dos contratos decorrentes da aquisição de bens e serviços que ela ou suas unidades subordinadas requisitarem.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Parágrafo único. Compete à Assistência Técnica da </w:t>
      </w:r>
      <w:proofErr w:type="spellStart"/>
      <w:r w:rsidRPr="008E70FF">
        <w:rPr>
          <w:rFonts w:ascii="Calibri" w:hAnsi="Calibri" w:cs="Calibri"/>
          <w:sz w:val="24"/>
          <w:szCs w:val="24"/>
        </w:rPr>
        <w:t>Secretaria-Geral</w:t>
      </w:r>
      <w:proofErr w:type="spellEnd"/>
      <w:r w:rsidRPr="008E70FF">
        <w:rPr>
          <w:rFonts w:ascii="Calibri" w:hAnsi="Calibri" w:cs="Calibri"/>
          <w:sz w:val="24"/>
          <w:szCs w:val="24"/>
        </w:rPr>
        <w:t>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lastRenderedPageBreak/>
        <w:t xml:space="preserve">I – assistir a unidade no planejamento, coordenação, programação e </w:t>
      </w:r>
      <w:proofErr w:type="gramStart"/>
      <w:r w:rsidRPr="008E70FF">
        <w:rPr>
          <w:rFonts w:ascii="Calibri" w:hAnsi="Calibri" w:cs="Calibri"/>
          <w:sz w:val="24"/>
          <w:szCs w:val="24"/>
        </w:rPr>
        <w:t>implementação</w:t>
      </w:r>
      <w:proofErr w:type="gramEnd"/>
      <w:r w:rsidRPr="008E70FF">
        <w:rPr>
          <w:rFonts w:ascii="Calibri" w:hAnsi="Calibri" w:cs="Calibri"/>
          <w:sz w:val="24"/>
          <w:szCs w:val="24"/>
        </w:rPr>
        <w:t xml:space="preserve"> de ações e resultados, bem como na operacionalização de processos de natureza técnica inerentes à sua área de atuação;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II – prestar assistência técnica na coordenação e gerenciamento da </w:t>
      </w:r>
      <w:proofErr w:type="gramStart"/>
      <w:r w:rsidRPr="008E70FF">
        <w:rPr>
          <w:rFonts w:ascii="Calibri" w:hAnsi="Calibri" w:cs="Calibri"/>
          <w:sz w:val="24"/>
          <w:szCs w:val="24"/>
        </w:rPr>
        <w:t>implementação</w:t>
      </w:r>
      <w:proofErr w:type="gramEnd"/>
      <w:r w:rsidRPr="008E70FF">
        <w:rPr>
          <w:rFonts w:ascii="Calibri" w:hAnsi="Calibri" w:cs="Calibri"/>
          <w:sz w:val="24"/>
          <w:szCs w:val="24"/>
        </w:rPr>
        <w:t xml:space="preserve"> de políticas e atividades realizadas pela </w:t>
      </w:r>
      <w:proofErr w:type="spellStart"/>
      <w:r w:rsidRPr="008E70FF">
        <w:rPr>
          <w:rFonts w:ascii="Calibri" w:hAnsi="Calibri" w:cs="Calibri"/>
          <w:sz w:val="24"/>
          <w:szCs w:val="24"/>
        </w:rPr>
        <w:t>Secretaria-Geral</w:t>
      </w:r>
      <w:proofErr w:type="spellEnd"/>
      <w:r w:rsidRPr="008E70FF">
        <w:rPr>
          <w:rFonts w:ascii="Calibri" w:hAnsi="Calibri" w:cs="Calibri"/>
          <w:sz w:val="24"/>
          <w:szCs w:val="24"/>
        </w:rPr>
        <w:t>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III – garantir suporte técnico e administrativo à </w:t>
      </w:r>
      <w:proofErr w:type="spellStart"/>
      <w:r w:rsidRPr="008E70FF">
        <w:rPr>
          <w:rFonts w:ascii="Calibri" w:hAnsi="Calibri" w:cs="Calibri"/>
          <w:sz w:val="24"/>
          <w:szCs w:val="24"/>
        </w:rPr>
        <w:t>Secretaria-Geral</w:t>
      </w:r>
      <w:proofErr w:type="spellEnd"/>
      <w:r w:rsidRPr="008E70FF">
        <w:rPr>
          <w:rFonts w:ascii="Calibri" w:hAnsi="Calibri" w:cs="Calibri"/>
          <w:sz w:val="24"/>
          <w:szCs w:val="24"/>
        </w:rPr>
        <w:t>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IV – executar outras atividades correlatas.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Art. 10</w:t>
      </w:r>
      <w:proofErr w:type="gramStart"/>
      <w:r w:rsidRPr="008E70FF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8E70FF">
        <w:rPr>
          <w:rFonts w:ascii="Calibri" w:hAnsi="Calibri" w:cs="Calibri"/>
          <w:sz w:val="24"/>
          <w:szCs w:val="24"/>
        </w:rPr>
        <w:t>Compete à Diretoria de Finanças: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 – conduzir procedimentos afetos à movimentação financeira, cumprindo as diretrizes orçamentárias;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II – controlar a execução do orçamento em todas as suas fases, promovendo o empenho prévio das despesas, bem como a anulação dos mesmos, quando necessário;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III – coordenar o serviço de orçamento e contabilidade;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IV – efetuar as indicações de recursos e reservas orçamentárias;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 – elaborar a contabilidade orçamentária e financeira da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 – elaborar a escrituração contábil através de balancetes mensais, assim como o balanço orçamentário, financeiro, patrimonial anual e demonstração das variações patrimoniais;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VII – elaborar as requisições e controlar o recebimento de duodécimos, créditos adicionais e   transferências de dotações;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VIII – emitir notas de empenho, ordens de pagamento de despesas e adiantamentos;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IX – executar o empenhamento das despesas realizadas observando o limite de crédito no orçamento e acompanhando a legislação pertinente à área;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X – exercer, em geral, as atividades relativas a recebimentos e pagamentos, controle do fechamento e do movimento de caixa, escrituração dos recebimentos e devoluções referentes aos duodécimos;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XI – efetuar o registro contábil, bem como a respectiva baixa, dos bens patrimoniais da Câmara Municipal;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XII – manter os registros contábeis, bem como promover a compatibilização de registros;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XIII– organizar e elaborar a proposta orçamentária da Câmara;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XIV – promover o serviço de tesouraria, controlando a programação financeira da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XV – elaborar relatórios de controle, auxiliando na prestação de contas aos órgãos de controle;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XVI – coordenar e supervisionar as requisições para aquisição de bens e serviços que guardem pertinência temática às suas funções;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XVII – fiscalizar a fiel execução dos contratos decorrentes da aquisição de bens e serviços que ela ou suas unidades subordinadas requisitarem.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Art. 11 Compete à Diretoria de Suporte Administrativo: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 – coordenar as atividades de compra de bens e contratação de serviços, gerindo os respectivos processos;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 – gerenciar as atividades de gestão de recursos humanos, controlando o processo de contratação de servidores públicos, pagamento de vencimentos e vantagens remuneratórias e jornada de trabalho;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III – coordenar as atividades administrativas de controle de documentos, patrimônio e material;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lastRenderedPageBreak/>
        <w:t>IV – supervisionar o processo de promoção e gestão de carreira e evolução funcional dos servidores públicos da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 – coordenar os processos de gestão documental e de protocolo da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 – coordenar e supervisionar as requisições para aquisição de bens e serviços que guardem pertinência temática às suas funções e às funções das unidades que lhe são subordinadas;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 – fiscalizar a fiel execução dos contratos decorrentes da aquisição de bens e serviços que ela ou suas unidades subordinadas requisitarem.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§ 1º Compete à Gerência de Gestão de Compras e Materiais: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 – controlar o estoque de materiais, mediante registro das entradas e saídas de materiais;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II – manter atualizado o cadastro de fornecedores e de preços, com vistas a </w:t>
      </w:r>
      <w:proofErr w:type="gramStart"/>
      <w:r w:rsidRPr="008E70FF">
        <w:rPr>
          <w:rFonts w:ascii="Calibri" w:hAnsi="Calibri" w:cs="Calibri"/>
          <w:sz w:val="24"/>
          <w:szCs w:val="24"/>
        </w:rPr>
        <w:t>agilizar</w:t>
      </w:r>
      <w:proofErr w:type="gramEnd"/>
      <w:r w:rsidRPr="008E70FF">
        <w:rPr>
          <w:rFonts w:ascii="Calibri" w:hAnsi="Calibri" w:cs="Calibri"/>
          <w:sz w:val="24"/>
          <w:szCs w:val="24"/>
        </w:rPr>
        <w:t xml:space="preserve"> o procedimento de compra;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III – manter sob guarda e controle, em local apropriado, os materiais adquiridos, zelando pela sua conservação e elaborando inventários periódicos, em consonância com a legislação pertinente;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IV – auxiliar a elaboração das requisições de materiais, bens e serviços;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V – promover os procedimentos de aquisição de bens, materiais e execução de obras e serviços,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proofErr w:type="gramStart"/>
      <w:r w:rsidRPr="008E70FF">
        <w:rPr>
          <w:rFonts w:ascii="Calibri" w:hAnsi="Calibri" w:cs="Calibri"/>
          <w:sz w:val="24"/>
          <w:szCs w:val="24"/>
        </w:rPr>
        <w:t>efetuando</w:t>
      </w:r>
      <w:proofErr w:type="gramEnd"/>
      <w:r w:rsidRPr="008E70FF">
        <w:rPr>
          <w:rFonts w:ascii="Calibri" w:hAnsi="Calibri" w:cs="Calibri"/>
          <w:sz w:val="24"/>
          <w:szCs w:val="24"/>
        </w:rPr>
        <w:t xml:space="preserve"> as respectivas cotações de preços, elaborando editais licitatórios e os respectivos contratos;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VI – controlar os contratos da Câmara, especialmente </w:t>
      </w:r>
      <w:proofErr w:type="gramStart"/>
      <w:r w:rsidRPr="008E70FF">
        <w:rPr>
          <w:rFonts w:ascii="Calibri" w:hAnsi="Calibri" w:cs="Calibri"/>
          <w:sz w:val="24"/>
          <w:szCs w:val="24"/>
        </w:rPr>
        <w:t>datas</w:t>
      </w:r>
      <w:proofErr w:type="gramEnd"/>
      <w:r w:rsidRPr="008E70FF">
        <w:rPr>
          <w:rFonts w:ascii="Calibri" w:hAnsi="Calibri" w:cs="Calibri"/>
          <w:sz w:val="24"/>
          <w:szCs w:val="24"/>
        </w:rPr>
        <w:t xml:space="preserve"> de vencimentos, tomando as medidas necessárias para evitar dissolução de continuidade dos serviços;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 – emitir manifestação substanciada sobre as requisições de materiais, bens e serviços, opinando sobre a viabilidade de realização de procedimento licitatório ou, conforme o caso, de contratação direta;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VIII – executar outras atividades correlatas.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§ 2º Compete à Gerência de Gestão de Informação: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 – executar a política de gestão de informação e documental da Câmara, notadamente quanto aos arquivos correntes, intermediários e permanentes;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 – desempenhar o serviço de protocolo da Câmara, quanto ao recebimento e processamento de documentos, bem como a autuação de processos;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III – orientar as demais unidades da Câmara quanto ao processo de gestão documental da Câmara, conforme tabela de temporalidade;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IV – organizar o sistema de acesso à informação e os processos de difusão das informações contidas nas unidades documentais;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 – providenciar a conservação e restauração dos documentos;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 – organizar e apoiar a política de difusão de documentos históricos da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 – executar outras atividades correlatas.</w:t>
      </w:r>
    </w:p>
    <w:p w:rsidR="008E70FF" w:rsidRPr="008E70FF" w:rsidRDefault="008E70FF" w:rsidP="009A797C">
      <w:pPr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§ 3º Compete à Gerência de Gestão de Patrimônio e Serviços: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 – supervisionar e fiscalizar o serviço de zeladoria, segurança e manutenção das instalações da Câmara, que compreende: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a) execução da limpeza das áreas internas e externas da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b) execução da manutenção das instalações e equipamentos da Câmara, providenciando, quando necessário, reparos;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c) execução dos serviços de segurança nas instalações internas e externas da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d) execução dos serviços de telefonia;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e) execução do serviço de copa;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lastRenderedPageBreak/>
        <w:t>f) realização da supervisão das tarefas de natureza operacional na área de elétrica, hidráulica, pintura e alvenaria necessários à manutenção do Edifício da Câmara.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II – inventariar os bens mobiliários e selecionar os que devem ou não ser </w:t>
      </w:r>
      <w:proofErr w:type="spellStart"/>
      <w:r w:rsidRPr="008E70FF">
        <w:rPr>
          <w:rFonts w:ascii="Calibri" w:hAnsi="Calibri" w:cs="Calibri"/>
          <w:sz w:val="24"/>
          <w:szCs w:val="24"/>
        </w:rPr>
        <w:t>patrimoniados</w:t>
      </w:r>
      <w:proofErr w:type="spellEnd"/>
      <w:r w:rsidRPr="008E70FF">
        <w:rPr>
          <w:rFonts w:ascii="Calibri" w:hAnsi="Calibri" w:cs="Calibri"/>
          <w:sz w:val="24"/>
          <w:szCs w:val="24"/>
        </w:rPr>
        <w:t>, assim como realizar atualização periódica dos bens móveis e semoventes da Câmara Municipal;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III – organizar os bens adquiridos, classificando-os e identificando-os e controlar os bens recepcionados, incorporados, tombados, armazenados e distribuídos, inclusive efetuando as suas respectivas baixas;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IV – executar outras atividades correlatas.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§ 4º Compete à Gerência de Gestão de Pessoal: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 – desempenhar atividades concernentes à administração de pessoal, que compreendem: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a) a participação no desenvolvimento da política de vencimentos e benefícios da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b) a realização de concursos públicos para admissão de servidores;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c) o controle da frequência dos servidores, promovendo anotações nos seus respectivos assentamentos individuais;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d) a elaboração e gerenciamento das folhas de pagamento dos funcionários da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e) manutenção do sistema de avaliação de desempenho;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f) organização e manutenção dos prontuários e assentamentos individuais;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g) planejamento, definição, normatização e monitoramento de procedimentos de promoção à saúde e segurança do trabalho do servidor da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h) preparação dos atos necessários à nomeação, manutenção e investidura de servidores.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 – desempenhar atividades concernentes à formação, capacitação e treinamento de pessoal, que compreendem: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a) elaborar programa de ação de recursos humanos;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b) coordenar e promover atividades que objetivem incrementar o ambiente organizacional, integrando os servidores;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c) promover cursos, palestras e treinamentos, de acordo com as diretrizes de gestão de pessoas, direcionados à capacitação e ao treinamento dos servidores da Câmara Municipal, em níveis gerencial, tático e operacional;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III – responsabilizar-se pelo planejamento, normatização, orientação e controle dos fluxos e rotinas de pagamento, por meio da: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a) parametrização de verbas e de regras de cálculos conforme legislação de pessoal;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b) publicação do cronograma para inserção de dados na folha de pagamento;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c) realização de auditoria de relatório de verbas; e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d) operacionalização de procedimentos de atualização e normalização dos arquivos da folha de pagamento.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IV – formalizar e instruir os processos administrativos que impliquem em alteração em folha de pagamento;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 – executar outras atividades correlatas.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Art. 12 Compete à Diretoria Legislativa: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 – coordenar o processo legislativo, dando suporte a sessões legislativas e administrativas afetas ao trabalho legislativo, organizando os fichários de leis, decretos, resoluções e normas referentes a assuntos municipais;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 – acompanhar e orientar os trabalhos desenvolvidos no plenário;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lastRenderedPageBreak/>
        <w:t xml:space="preserve">III – desempenhar serviços de expediente legislativo, bem como acompanhar as atividades legislativas e os assuntos relacionados à atividade-fim da Câmara;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IV – fornecer cópias de leis, decretos legislativos, resoluções, certidões sobre matéria legislativa ou outros atos às autoridades competentes;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 – preparar e divulgar a ordem do dia;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VI – promover a reunião, a indexação, a consolidação e a compilação da legislação municipal;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 – secretariar as reuniões do Plenário e das Comissões, lavrando a respectiva ata e elaborando pareceres e ofícios sobre temas de interesse dos Vereadores;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VIII – gerir as ações estratégicas de suporte temático e processual e acompanhar e sistematizar os resultados de projetos e programas de interlocução com a sociedade, de modo a contribuir para que a Câmara Municipal desempenhe adequadamente sua missão institucional;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IX – coordenar e supervisionar as requisições para aquisição de bens e serviços que guardem pertinência temática às suas funções e às funções das unidades que lhe são subordinadas;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X – fiscalizar a fiel execução dos contratos decorrentes da aquisição de bens e serviços que ela ou suas unidades subordinadas requisitarem.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§ 1º Compete à Gerência de Consultoria Legislativa: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 – coordenar a elaboração, para apoio da atividade legislativa, de estudos, notas técnicas e minutas de proposições;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II – assessorar na elaboração de anteprojetos, projetos de lei, emendas, recursos, pedidos de informação, pareceres e demais proposições de natureza técnico-legislativa;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III – proceder às operações técnico-legislativas, orientando e auxiliando os órgãos da Câmara Municipal;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IV – emitir notas técnicas;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 – prestar assessoramento técnico e acompanhar os trabalhos das Comissões;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 – promover o planejamento, coordenação, orientação e supervisão das atividades que prestam apoio aos trabalhos legislativos;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 – executar atividades relacionadas com o desenvolvimento do processo legislativo;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VIII – promover a revisão e adequação de proposições;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IX – responder às consultas sobre assuntos de sua competência;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X – subsidiar tecnicamente os relatores na estruturação de relatórios e votos;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XI – acompanhar e participar de audiências públicas relacionadas a proposituras legislativas;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XII – executar outras atividades correlatas.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§ 2º Compete à Gerência de Expediente Legislativo: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 – executar os serviços de expediente e acompanhamento legislativo;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II – elaborar os despachos, redigir os expedientes correspondentes e fazer os encaminhamentos necessários;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III – executar as atividades atinentes ao processo legislativo no âmbito de sua atuação;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IV – secretariar audiências públicas desvinculadas de proposituras legislativas, redigindo a respectiva ata;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 – superintender os serviços relativos ao expediente das sessões legislativas, bem como os serviços de suporte ao Vereador no controle de processos;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lastRenderedPageBreak/>
        <w:t>VI – assessorar a elaboração de requerimentos, pedidos de informação, indicações, dando o encaminhamento respectivo de tais expedientes;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 – elaborar e dar a publicidade dos atos expedidos pela Presidência e pela Mesa Diretora;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VIII – executar as atividades e processos atinentes à posse, licença e extinção de mandato parlamentar;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IX – executar as atividades e processos atinentes à eleição, posse e investidura de funções exercidas por vereadores na Mesa Diretora e comissões;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X – executar outras atividades correlatas.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Art. 13 Compete à Gerência de Tecnologia da Informação: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I – administrar e prover suporte à rede interna de computadores da Câmara Municipal, bem como o acesso à internet no âmbito da Câmara Municipal;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 – atuar na execução de serviços de baixa e média complexidade na instalação e manutenção de equipamentos de informática, inclusive na manutenção do portal do site da Câmara Municipal;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III – dar suporte ao usuário de informática da Câmara, orientando sobre cursos e treinamentos nessa área;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IV – responsabilizar-se por cópias de segurança de informações da Câmara armazenadas nos servidores de rede;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 – executar serviços de instalação e configuração de programas aplicativos de uso da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 – implantar sistemas de tecnologia e de gestão de processos na Câmara;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 – superintender a instalação e implantação de sistemas informatizados na Câmara Municipal, bem como a manutenção de hardware, software e sistemas de rede de computadores, inclusive internet e intranet;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VIII – executar outras atividades correlatas.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Art. 14 Compete à Gerência de Transportes: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I – coordenar e executar o serviço de transportes e entregas de pessoas, objetos e documentos;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II – executar o controle de frequência e acompanhamento da regularidade das habilitações dos profissionais, no âmbito de sua atuação;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III – gerenciar o controle e manutenção preventiva da frota;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IV – promover a gestão de documentação dos veículos em sua custódia;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 xml:space="preserve">V – responder pela prestação de contas, no âmbito de sua área de atuação; 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 – realizar atividades de agendamento e gestão da grade de programação de viagens;</w:t>
      </w:r>
    </w:p>
    <w:p w:rsid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VII – executar outras atividades correlatas.</w:t>
      </w:r>
    </w:p>
    <w:p w:rsid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4"/>
        </w:rPr>
      </w:pPr>
      <w:r w:rsidRPr="008E70FF">
        <w:rPr>
          <w:rFonts w:ascii="Calibri" w:hAnsi="Calibri" w:cs="Calibri"/>
          <w:b/>
          <w:sz w:val="24"/>
          <w:szCs w:val="24"/>
        </w:rPr>
        <w:t>SEÇÃO III</w:t>
      </w:r>
    </w:p>
    <w:p w:rsidR="008E70FF" w:rsidRP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4"/>
        </w:rPr>
      </w:pPr>
      <w:r w:rsidRPr="008E70FF">
        <w:rPr>
          <w:rFonts w:ascii="Calibri" w:hAnsi="Calibri" w:cs="Calibri"/>
          <w:b/>
          <w:sz w:val="24"/>
          <w:szCs w:val="24"/>
        </w:rPr>
        <w:t>DISPOSIÇÕES FINAIS</w:t>
      </w:r>
    </w:p>
    <w:p w:rsid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E70FF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8E70FF">
        <w:rPr>
          <w:rFonts w:ascii="Calibri" w:hAnsi="Calibri" w:cs="Calibri"/>
          <w:sz w:val="24"/>
          <w:szCs w:val="24"/>
        </w:rPr>
        <w:t>Art. 15 Esta Resolução entra em vigor na data de sua publicação.</w:t>
      </w:r>
    </w:p>
    <w:p w:rsidR="008E70FF" w:rsidRPr="000C27D0" w:rsidRDefault="008E70FF" w:rsidP="008E70FF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sz w:val="24"/>
          <w:szCs w:val="24"/>
        </w:rPr>
        <w:tab/>
      </w:r>
      <w:r w:rsidR="003B5389">
        <w:rPr>
          <w:rFonts w:ascii="Calibri" w:hAnsi="Calibri" w:cs="Calibri"/>
          <w:b/>
          <w:b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 xml:space="preserve">CÂMARA MUNICIPAL DE ARARAQUARA, aos </w:t>
      </w:r>
      <w:r w:rsidR="004030D9">
        <w:rPr>
          <w:rFonts w:ascii="Calibri" w:hAnsi="Calibri" w:cs="Calibri"/>
          <w:sz w:val="24"/>
          <w:szCs w:val="24"/>
        </w:rPr>
        <w:t>1</w:t>
      </w:r>
      <w:r w:rsidR="008E70FF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>(</w:t>
      </w:r>
      <w:r w:rsidR="008E70FF">
        <w:rPr>
          <w:rFonts w:ascii="Calibri" w:hAnsi="Calibri" w:cs="Calibri"/>
          <w:sz w:val="24"/>
          <w:szCs w:val="24"/>
        </w:rPr>
        <w:t>dezesseis</w:t>
      </w:r>
      <w:r w:rsidRPr="000C27D0">
        <w:rPr>
          <w:rFonts w:ascii="Calibri" w:hAnsi="Calibri" w:cs="Calibri"/>
          <w:sz w:val="24"/>
          <w:szCs w:val="24"/>
        </w:rPr>
        <w:t xml:space="preserve">) dias do mês de </w:t>
      </w:r>
      <w:r w:rsidR="004030D9">
        <w:rPr>
          <w:rFonts w:ascii="Calibri" w:hAnsi="Calibri" w:cs="Calibri"/>
          <w:sz w:val="24"/>
          <w:szCs w:val="24"/>
        </w:rPr>
        <w:t>janeir</w:t>
      </w:r>
      <w:r>
        <w:rPr>
          <w:rFonts w:ascii="Calibri" w:hAnsi="Calibri" w:cs="Calibri"/>
          <w:sz w:val="24"/>
          <w:szCs w:val="24"/>
        </w:rPr>
        <w:t xml:space="preserve">o </w:t>
      </w:r>
      <w:r w:rsidRPr="000C27D0">
        <w:rPr>
          <w:rFonts w:ascii="Calibri" w:hAnsi="Calibri" w:cs="Calibri"/>
          <w:sz w:val="24"/>
          <w:szCs w:val="24"/>
        </w:rPr>
        <w:t>do ano de 201</w:t>
      </w:r>
      <w:r w:rsidR="008E70FF">
        <w:rPr>
          <w:rFonts w:ascii="Calibri" w:hAnsi="Calibri" w:cs="Calibri"/>
          <w:sz w:val="24"/>
          <w:szCs w:val="24"/>
        </w:rPr>
        <w:t>8</w:t>
      </w:r>
      <w:r w:rsidRPr="000C27D0">
        <w:rPr>
          <w:rFonts w:ascii="Calibri" w:hAnsi="Calibri" w:cs="Calibri"/>
          <w:sz w:val="24"/>
          <w:szCs w:val="24"/>
        </w:rPr>
        <w:t xml:space="preserve"> (dois mil e </w:t>
      </w:r>
      <w:r w:rsidR="008E70FF">
        <w:rPr>
          <w:rFonts w:ascii="Calibri" w:hAnsi="Calibri" w:cs="Calibri"/>
          <w:sz w:val="24"/>
          <w:szCs w:val="24"/>
        </w:rPr>
        <w:t>dezoito</w:t>
      </w:r>
      <w:r w:rsidRPr="000C27D0">
        <w:rPr>
          <w:rFonts w:ascii="Calibri" w:hAnsi="Calibri" w:cs="Calibri"/>
          <w:sz w:val="24"/>
          <w:szCs w:val="24"/>
        </w:rPr>
        <w:t>).</w:t>
      </w: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4030D9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lastRenderedPageBreak/>
        <w:t>Presidente</w:t>
      </w:r>
    </w:p>
    <w:p w:rsidR="00845D08" w:rsidRDefault="00845D08" w:rsidP="00845D08">
      <w:pPr>
        <w:jc w:val="both"/>
        <w:rPr>
          <w:rFonts w:ascii="Calibri" w:hAnsi="Calibri" w:cs="Calibri"/>
          <w:sz w:val="22"/>
          <w:szCs w:val="22"/>
        </w:rPr>
      </w:pPr>
    </w:p>
    <w:p w:rsidR="008E70FF" w:rsidRPr="008E70FF" w:rsidRDefault="008E70FF" w:rsidP="008E70FF">
      <w:pPr>
        <w:jc w:val="both"/>
        <w:rPr>
          <w:rFonts w:ascii="Calibri" w:hAnsi="Calibri" w:cs="Calibri"/>
          <w:sz w:val="22"/>
          <w:szCs w:val="22"/>
        </w:rPr>
      </w:pPr>
      <w:r w:rsidRPr="008E70FF">
        <w:rPr>
          <w:rFonts w:ascii="Calibri" w:hAnsi="Calibri" w:cs="Calibri"/>
          <w:sz w:val="22"/>
          <w:szCs w:val="22"/>
        </w:rPr>
        <w:t>Publicada na Câmara Municipal de Araraquara, na mesma data</w:t>
      </w:r>
    </w:p>
    <w:p w:rsidR="00C06142" w:rsidRDefault="008E70FF" w:rsidP="008E70F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Arquivada no Processo nº 418</w:t>
      </w:r>
      <w:r w:rsidRPr="008E70FF">
        <w:rPr>
          <w:rFonts w:ascii="Calibri" w:hAnsi="Calibri" w:cs="Calibri"/>
          <w:sz w:val="22"/>
          <w:szCs w:val="22"/>
        </w:rPr>
        <w:t>/17.</w:t>
      </w:r>
    </w:p>
    <w:p w:rsidR="008E70FF" w:rsidRPr="009D0CF1" w:rsidRDefault="008E70FF" w:rsidP="008E70FF">
      <w:pPr>
        <w:jc w:val="both"/>
        <w:rPr>
          <w:rFonts w:ascii="Calibri" w:hAnsi="Calibri" w:cs="Calibri"/>
          <w:sz w:val="24"/>
          <w:szCs w:val="24"/>
        </w:rPr>
      </w:pPr>
    </w:p>
    <w:p w:rsidR="00C06142" w:rsidRPr="009D0CF1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AF5E0F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C06142" w:rsidRPr="000C27D0" w:rsidRDefault="008E70FF" w:rsidP="00393C4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Secretário-Geral</w:t>
      </w:r>
    </w:p>
    <w:sectPr w:rsidR="00C06142" w:rsidRPr="000C27D0" w:rsidSect="000C27D0">
      <w:footerReference w:type="default" r:id="rId9"/>
      <w:pgSz w:w="11907" w:h="16840" w:code="9"/>
      <w:pgMar w:top="851" w:right="1134" w:bottom="851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E7" w:rsidRDefault="009110E7" w:rsidP="008E70FF">
      <w:r>
        <w:separator/>
      </w:r>
    </w:p>
  </w:endnote>
  <w:endnote w:type="continuationSeparator" w:id="0">
    <w:p w:rsidR="009110E7" w:rsidRDefault="009110E7" w:rsidP="008E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7207118"/>
      <w:docPartObj>
        <w:docPartGallery w:val="Page Numbers (Bottom of Page)"/>
        <w:docPartUnique/>
      </w:docPartObj>
    </w:sdtPr>
    <w:sdtContent>
      <w:p w:rsidR="008E70FF" w:rsidRDefault="00E84C04">
        <w:pPr>
          <w:pStyle w:val="Rodap"/>
          <w:jc w:val="right"/>
        </w:pPr>
        <w:r>
          <w:fldChar w:fldCharType="begin"/>
        </w:r>
        <w:r w:rsidR="008E70FF">
          <w:instrText>PAGE   \* MERGEFORMAT</w:instrText>
        </w:r>
        <w:r>
          <w:fldChar w:fldCharType="separate"/>
        </w:r>
        <w:r w:rsidR="009A797C">
          <w:rPr>
            <w:noProof/>
          </w:rPr>
          <w:t>1</w:t>
        </w:r>
        <w:r>
          <w:fldChar w:fldCharType="end"/>
        </w:r>
      </w:p>
    </w:sdtContent>
  </w:sdt>
  <w:p w:rsidR="008E70FF" w:rsidRDefault="008E70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E7" w:rsidRDefault="009110E7" w:rsidP="008E70FF">
      <w:r>
        <w:separator/>
      </w:r>
    </w:p>
  </w:footnote>
  <w:footnote w:type="continuationSeparator" w:id="0">
    <w:p w:rsidR="009110E7" w:rsidRDefault="009110E7" w:rsidP="008E7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9ED"/>
    <w:multiLevelType w:val="hybridMultilevel"/>
    <w:tmpl w:val="4942D3A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6DF0"/>
    <w:rsid w:val="00030E36"/>
    <w:rsid w:val="0007746F"/>
    <w:rsid w:val="000864C1"/>
    <w:rsid w:val="000C27D0"/>
    <w:rsid w:val="000C46FF"/>
    <w:rsid w:val="000D75D5"/>
    <w:rsid w:val="00113109"/>
    <w:rsid w:val="00120CE3"/>
    <w:rsid w:val="00177957"/>
    <w:rsid w:val="00186E8A"/>
    <w:rsid w:val="001A5003"/>
    <w:rsid w:val="001D6DF0"/>
    <w:rsid w:val="002003F8"/>
    <w:rsid w:val="00202441"/>
    <w:rsid w:val="00254F8F"/>
    <w:rsid w:val="002B3B61"/>
    <w:rsid w:val="002D5B96"/>
    <w:rsid w:val="002F0801"/>
    <w:rsid w:val="002F3F4E"/>
    <w:rsid w:val="00321B5D"/>
    <w:rsid w:val="0035212C"/>
    <w:rsid w:val="00393C44"/>
    <w:rsid w:val="003B5389"/>
    <w:rsid w:val="003C0EF2"/>
    <w:rsid w:val="003D7273"/>
    <w:rsid w:val="003E236E"/>
    <w:rsid w:val="003F2DCE"/>
    <w:rsid w:val="004030D9"/>
    <w:rsid w:val="00481006"/>
    <w:rsid w:val="004A7B25"/>
    <w:rsid w:val="005462DF"/>
    <w:rsid w:val="00572E2A"/>
    <w:rsid w:val="005771A2"/>
    <w:rsid w:val="0058573F"/>
    <w:rsid w:val="005E59C1"/>
    <w:rsid w:val="006405C5"/>
    <w:rsid w:val="006511A5"/>
    <w:rsid w:val="00652DB3"/>
    <w:rsid w:val="0069168C"/>
    <w:rsid w:val="006C6070"/>
    <w:rsid w:val="006C70A3"/>
    <w:rsid w:val="006D5CAD"/>
    <w:rsid w:val="00764E18"/>
    <w:rsid w:val="007B71A6"/>
    <w:rsid w:val="007D1251"/>
    <w:rsid w:val="00804DC2"/>
    <w:rsid w:val="00807BD6"/>
    <w:rsid w:val="00814EC1"/>
    <w:rsid w:val="00827E3D"/>
    <w:rsid w:val="00830349"/>
    <w:rsid w:val="0083470E"/>
    <w:rsid w:val="008357FF"/>
    <w:rsid w:val="00845D08"/>
    <w:rsid w:val="0085447E"/>
    <w:rsid w:val="00886DA5"/>
    <w:rsid w:val="008963EF"/>
    <w:rsid w:val="008A4DD8"/>
    <w:rsid w:val="008C1F46"/>
    <w:rsid w:val="008E70FF"/>
    <w:rsid w:val="009110E7"/>
    <w:rsid w:val="00997596"/>
    <w:rsid w:val="009A797C"/>
    <w:rsid w:val="009B5943"/>
    <w:rsid w:val="009D0CF1"/>
    <w:rsid w:val="009D3739"/>
    <w:rsid w:val="009E1277"/>
    <w:rsid w:val="009F6443"/>
    <w:rsid w:val="00A10041"/>
    <w:rsid w:val="00A46F1C"/>
    <w:rsid w:val="00A55780"/>
    <w:rsid w:val="00A83EC7"/>
    <w:rsid w:val="00AB1722"/>
    <w:rsid w:val="00AF57BF"/>
    <w:rsid w:val="00AF5E0F"/>
    <w:rsid w:val="00B45BE9"/>
    <w:rsid w:val="00B45F7E"/>
    <w:rsid w:val="00B46F24"/>
    <w:rsid w:val="00B71A08"/>
    <w:rsid w:val="00BF6266"/>
    <w:rsid w:val="00C06142"/>
    <w:rsid w:val="00C207D2"/>
    <w:rsid w:val="00C67339"/>
    <w:rsid w:val="00C849E3"/>
    <w:rsid w:val="00CA15BD"/>
    <w:rsid w:val="00D52C41"/>
    <w:rsid w:val="00DC3E10"/>
    <w:rsid w:val="00DE2CC1"/>
    <w:rsid w:val="00E27D98"/>
    <w:rsid w:val="00E34131"/>
    <w:rsid w:val="00E84C04"/>
    <w:rsid w:val="00EF4BC6"/>
    <w:rsid w:val="00F009C5"/>
    <w:rsid w:val="00F40AD0"/>
    <w:rsid w:val="00F57C4E"/>
    <w:rsid w:val="00FB31F2"/>
    <w:rsid w:val="00FF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18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764E18"/>
    <w:pPr>
      <w:keepNext/>
      <w:ind w:left="3762" w:right="-376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4E18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64E1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764E18"/>
    <w:rPr>
      <w:rFonts w:ascii="Cambria" w:hAnsi="Cambria" w:cs="Cambria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99"/>
    <w:rsid w:val="001A5003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120CE3"/>
    <w:pPr>
      <w:autoSpaceDE/>
      <w:autoSpaceDN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27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D7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5D5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E70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0F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F64E-7276-492C-A5E2-B2EAAF33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4225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tatiane</cp:lastModifiedBy>
  <cp:revision>4</cp:revision>
  <cp:lastPrinted>2015-09-30T00:32:00Z</cp:lastPrinted>
  <dcterms:created xsi:type="dcterms:W3CDTF">2018-01-16T21:39:00Z</dcterms:created>
  <dcterms:modified xsi:type="dcterms:W3CDTF">2019-04-08T20:36:00Z</dcterms:modified>
</cp:coreProperties>
</file>