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AF" w:rsidRPr="00BD38AF" w:rsidRDefault="0072608B" w:rsidP="00BD38AF">
      <w:pPr>
        <w:spacing w:before="120" w:after="120" w:line="360" w:lineRule="auto"/>
        <w:contextualSpacing/>
        <w:rPr>
          <w:rFonts w:eastAsia="Times New Roman" w:cs="Calibri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-18415</wp:posOffset>
                </wp:positionV>
                <wp:extent cx="1751965" cy="361315"/>
                <wp:effectExtent l="0" t="0" r="19685" b="19685"/>
                <wp:wrapNone/>
                <wp:docPr id="1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495C" id="Retângulo 4" o:spid="_x0000_s1026" style="position:absolute;margin-left:-1.05pt;margin-top:-1.45pt;width:137.9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" o:allowincell="f" fillcolor="#f2f2f2"/>
            </w:pict>
          </mc:Fallback>
        </mc:AlternateContent>
      </w:r>
      <w:r w:rsidR="00BD38AF" w:rsidRPr="00BD38AF">
        <w:rPr>
          <w:rFonts w:eastAsia="Times New Roman" w:cs="Calibri"/>
          <w:b/>
          <w:sz w:val="24"/>
          <w:szCs w:val="24"/>
          <w:lang w:eastAsia="pt-BR"/>
        </w:rPr>
        <w:t xml:space="preserve"> OFÍCIO/SNJ Nº 034</w:t>
      </w:r>
      <w:r w:rsidR="00BD38AF">
        <w:rPr>
          <w:rFonts w:eastAsia="Times New Roman" w:cs="Calibri"/>
          <w:b/>
          <w:sz w:val="24"/>
          <w:szCs w:val="24"/>
          <w:lang w:eastAsia="pt-BR"/>
        </w:rPr>
        <w:t>9</w:t>
      </w:r>
      <w:r w:rsidR="00BD38AF" w:rsidRPr="00BD38AF">
        <w:rPr>
          <w:rFonts w:eastAsia="Times New Roman" w:cs="Calibri"/>
          <w:b/>
          <w:sz w:val="24"/>
          <w:szCs w:val="24"/>
          <w:lang w:eastAsia="pt-BR"/>
        </w:rPr>
        <w:t>/2017</w:t>
      </w:r>
      <w:r w:rsidR="00BD38AF" w:rsidRPr="00BD38AF">
        <w:rPr>
          <w:rFonts w:eastAsia="Times New Roman" w:cs="Calibri"/>
          <w:sz w:val="24"/>
          <w:szCs w:val="24"/>
          <w:lang w:eastAsia="pt-BR"/>
        </w:rPr>
        <w:t xml:space="preserve">                                                      </w:t>
      </w:r>
      <w:r w:rsidR="00BD38AF">
        <w:rPr>
          <w:rFonts w:eastAsia="Times New Roman" w:cs="Calibri"/>
          <w:sz w:val="24"/>
          <w:szCs w:val="24"/>
          <w:lang w:eastAsia="pt-BR"/>
        </w:rPr>
        <w:t xml:space="preserve">  </w:t>
      </w:r>
      <w:r w:rsidR="005E4F5E">
        <w:rPr>
          <w:rFonts w:eastAsia="Times New Roman" w:cs="Calibri"/>
          <w:sz w:val="24"/>
          <w:szCs w:val="24"/>
          <w:lang w:eastAsia="pt-BR"/>
        </w:rPr>
        <w:t xml:space="preserve">                       </w:t>
      </w:r>
      <w:r w:rsidR="00BD38AF" w:rsidRPr="00BD38AF">
        <w:rPr>
          <w:rFonts w:eastAsia="Times New Roman" w:cs="Calibri"/>
          <w:sz w:val="24"/>
          <w:szCs w:val="24"/>
          <w:lang w:eastAsia="pt-BR"/>
        </w:rPr>
        <w:t>Em 2</w:t>
      </w:r>
      <w:r w:rsidR="00BD38AF">
        <w:rPr>
          <w:rFonts w:eastAsia="Times New Roman" w:cs="Calibri"/>
          <w:sz w:val="24"/>
          <w:szCs w:val="24"/>
          <w:lang w:eastAsia="pt-BR"/>
        </w:rPr>
        <w:t>9</w:t>
      </w:r>
      <w:r w:rsidR="00BD38AF" w:rsidRPr="00BD38AF">
        <w:rPr>
          <w:rFonts w:eastAsia="Times New Roman" w:cs="Calibri"/>
          <w:sz w:val="24"/>
          <w:szCs w:val="24"/>
          <w:lang w:eastAsia="pt-BR"/>
        </w:rPr>
        <w:t xml:space="preserve"> de novembro de 2017</w:t>
      </w:r>
    </w:p>
    <w:p w:rsidR="00BD38AF" w:rsidRPr="00BD38AF" w:rsidRDefault="00BD38AF" w:rsidP="00BD38AF">
      <w:pPr>
        <w:spacing w:before="120" w:after="12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BD38AF">
        <w:rPr>
          <w:rFonts w:eastAsia="Times New Roman" w:cs="Calibri"/>
          <w:sz w:val="24"/>
          <w:szCs w:val="24"/>
          <w:lang w:eastAsia="pt-BR"/>
        </w:rPr>
        <w:t>Ao</w:t>
      </w: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BD38AF">
        <w:rPr>
          <w:rFonts w:eastAsia="Times New Roman" w:cs="Calibri"/>
          <w:sz w:val="24"/>
          <w:szCs w:val="24"/>
          <w:lang w:eastAsia="pt-BR"/>
        </w:rPr>
        <w:t>Excelentíssimo Senhor</w:t>
      </w: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BD38AF">
        <w:rPr>
          <w:rFonts w:eastAsia="Times New Roman" w:cs="Calibri"/>
          <w:b/>
          <w:sz w:val="24"/>
          <w:szCs w:val="24"/>
          <w:lang w:eastAsia="pt-BR"/>
        </w:rPr>
        <w:t>JÉFERSON YASHUDA FARMACÊUTICO</w:t>
      </w: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BD38AF">
        <w:rPr>
          <w:rFonts w:eastAsia="Times New Roman" w:cs="Calibri"/>
          <w:sz w:val="24"/>
          <w:szCs w:val="24"/>
          <w:lang w:eastAsia="pt-BR"/>
        </w:rPr>
        <w:t>Presidente da Câmara Municipal</w:t>
      </w: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BD38AF">
        <w:rPr>
          <w:rFonts w:eastAsia="Times New Roman" w:cs="Calibri"/>
          <w:sz w:val="24"/>
          <w:szCs w:val="24"/>
          <w:lang w:eastAsia="pt-BR"/>
        </w:rPr>
        <w:t>Rua São Bento, 887 – Centro</w:t>
      </w:r>
    </w:p>
    <w:p w:rsidR="00BD38AF" w:rsidRPr="00BD38AF" w:rsidRDefault="00BD38AF" w:rsidP="00BD38AF">
      <w:pPr>
        <w:spacing w:before="120" w:after="120" w:line="240" w:lineRule="auto"/>
        <w:contextualSpacing/>
        <w:jc w:val="both"/>
        <w:rPr>
          <w:rFonts w:cs="Calibri"/>
          <w:b/>
          <w:bCs/>
          <w:iCs/>
          <w:sz w:val="24"/>
          <w:szCs w:val="24"/>
          <w:u w:val="single"/>
          <w:lang w:eastAsia="pt-BR"/>
        </w:rPr>
      </w:pPr>
      <w:r w:rsidRPr="00BD38AF">
        <w:rPr>
          <w:rFonts w:cs="Calibri"/>
          <w:b/>
          <w:bCs/>
          <w:iCs/>
          <w:sz w:val="24"/>
          <w:szCs w:val="24"/>
          <w:u w:val="single"/>
          <w:lang w:eastAsia="pt-BR"/>
        </w:rPr>
        <w:t>14801-300 - ARARAQUARA/SP</w:t>
      </w:r>
    </w:p>
    <w:p w:rsidR="00BD38AF" w:rsidRPr="00BD38AF" w:rsidRDefault="00BD38AF" w:rsidP="00BD38AF">
      <w:pPr>
        <w:tabs>
          <w:tab w:val="right" w:pos="8504"/>
        </w:tabs>
        <w:spacing w:before="120" w:after="120" w:line="36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BD38AF" w:rsidRPr="00BD38AF" w:rsidRDefault="00BD38AF" w:rsidP="00BD38AF">
      <w:pPr>
        <w:tabs>
          <w:tab w:val="right" w:pos="8504"/>
        </w:tabs>
        <w:spacing w:before="120" w:after="120" w:line="360" w:lineRule="auto"/>
        <w:jc w:val="both"/>
        <w:rPr>
          <w:rFonts w:eastAsia="Times New Roman" w:cs="Calibri"/>
          <w:sz w:val="24"/>
          <w:szCs w:val="24"/>
          <w:lang w:eastAsia="pt-BR"/>
        </w:rPr>
      </w:pPr>
      <w:r w:rsidRPr="00BD38AF">
        <w:rPr>
          <w:rFonts w:eastAsia="Times New Roman" w:cs="Calibri"/>
          <w:sz w:val="24"/>
          <w:szCs w:val="24"/>
          <w:lang w:eastAsia="pt-BR"/>
        </w:rPr>
        <w:t>Senhor Presidente:</w:t>
      </w:r>
      <w:r w:rsidRPr="00BD38AF">
        <w:rPr>
          <w:rFonts w:eastAsia="Times New Roman" w:cs="Calibri"/>
          <w:sz w:val="24"/>
          <w:szCs w:val="24"/>
          <w:lang w:eastAsia="pt-BR"/>
        </w:rPr>
        <w:tab/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</w:pPr>
      <w:r w:rsidRPr="00BD38AF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Nos termos da Lei Orgânica do Município de Araraquara, encaminhamos a Vossa Excelência, a fim de ser apreciado pelo Poder Legislativo, Projeto de Lei que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Pr="00BD38AF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stabelece os componentes municipais do Sistema Nacional de Segurança Alimentar e Nutricional – SISAN.</w:t>
      </w:r>
    </w:p>
    <w:p w:rsid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 xml:space="preserve">De acordo com a Lei Federal nº </w:t>
      </w:r>
      <w:r w:rsidRPr="00DE71D3">
        <w:rPr>
          <w:rFonts w:cs="Arial"/>
          <w:color w:val="000000"/>
          <w:sz w:val="24"/>
          <w:szCs w:val="24"/>
        </w:rPr>
        <w:t>11.346, de 15 de setembro de 2006</w:t>
      </w:r>
      <w:r>
        <w:rPr>
          <w:rFonts w:cs="Arial"/>
          <w:color w:val="000000"/>
          <w:sz w:val="24"/>
          <w:szCs w:val="24"/>
        </w:rPr>
        <w:t xml:space="preserve">, cabe aos entes federativos propor a regulamentação do </w:t>
      </w:r>
      <w:r w:rsidRPr="00BD38AF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Sistema Nacional de Segurança Alimentar e Nutricional – SISAN</w:t>
      </w:r>
      <w:r w:rsidR="00C5448C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em sua esfera de atuação.</w:t>
      </w:r>
    </w:p>
    <w:p w:rsidR="00C5448C" w:rsidRDefault="00C5448C" w:rsidP="00BD38AF">
      <w:pPr>
        <w:spacing w:before="120" w:after="120" w:line="360" w:lineRule="auto"/>
        <w:ind w:firstLine="709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Nesse sentido, após a composição do </w:t>
      </w:r>
      <w:r w:rsidRPr="00C5448C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Conselho Municipal de Segurança Alimentar e Nutricional – COMSAN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, instituído pela Lei Municipal nº 8.973, de 11 de maio de 2017, faz-se necessário a instituição dos componentes do sistema municipal, as quais se encontram neste projeto, diante das previsões do </w:t>
      </w:r>
      <w:r w:rsidRPr="00BD38AF"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Sistema Nacional de Segurança Alimentar e Nutricional – SISAN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5448C" w:rsidRDefault="00C5448C" w:rsidP="00BD38AF">
      <w:pPr>
        <w:spacing w:before="120" w:after="120"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Além disso, convém ressaltar que o presente Projeto de Lei instituiu uma </w:t>
      </w:r>
      <w:r w:rsidRPr="00DE71D3">
        <w:rPr>
          <w:rFonts w:cs="Arial"/>
          <w:color w:val="000000"/>
          <w:sz w:val="24"/>
          <w:szCs w:val="24"/>
        </w:rPr>
        <w:t>Câmara Intersecretarial Municipal de Segurança Alimentar e Nutricional – CAISAN-Municipal</w:t>
      </w:r>
      <w:r w:rsidR="004A17E9">
        <w:rPr>
          <w:rFonts w:cs="Arial"/>
          <w:color w:val="000000"/>
          <w:sz w:val="24"/>
          <w:szCs w:val="24"/>
        </w:rPr>
        <w:t>, de modo a promover a articulação dos órgãos integrantes da administração municipal em torno do tema da segurança alimentar.</w:t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sz w:val="24"/>
          <w:szCs w:val="24"/>
          <w:lang w:eastAsia="pt-BR"/>
        </w:rPr>
      </w:pPr>
      <w:r w:rsidRPr="00BD38AF">
        <w:rPr>
          <w:rFonts w:eastAsia="Times New Roman" w:cs="Arial"/>
          <w:sz w:val="24"/>
          <w:szCs w:val="24"/>
          <w:lang w:eastAsia="pt-BR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sz w:val="24"/>
          <w:szCs w:val="24"/>
          <w:lang w:eastAsia="pt-BR"/>
        </w:rPr>
      </w:pPr>
      <w:r w:rsidRPr="00BD38AF">
        <w:rPr>
          <w:rFonts w:eastAsia="Times New Roman" w:cs="Arial"/>
          <w:sz w:val="24"/>
          <w:szCs w:val="24"/>
          <w:lang w:eastAsia="pt-BR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sz w:val="24"/>
          <w:szCs w:val="24"/>
          <w:lang w:eastAsia="pt-BR"/>
        </w:rPr>
      </w:pPr>
      <w:r w:rsidRPr="00BD38AF">
        <w:rPr>
          <w:rFonts w:eastAsia="Times New Roman" w:cs="Arial"/>
          <w:sz w:val="24"/>
          <w:szCs w:val="24"/>
          <w:lang w:eastAsia="pt-BR"/>
        </w:rPr>
        <w:lastRenderedPageBreak/>
        <w:t>Valho-me do ensejo para renovar-lhe os protestos de estima e apreço.</w:t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sz w:val="24"/>
          <w:szCs w:val="24"/>
          <w:lang w:eastAsia="pt-BR"/>
        </w:rPr>
      </w:pPr>
      <w:r w:rsidRPr="00BD38AF">
        <w:rPr>
          <w:rFonts w:eastAsia="Times New Roman" w:cs="Arial"/>
          <w:sz w:val="24"/>
          <w:szCs w:val="24"/>
          <w:lang w:eastAsia="pt-BR"/>
        </w:rPr>
        <w:t>Atenciosamente,</w:t>
      </w:r>
    </w:p>
    <w:p w:rsidR="00BD38AF" w:rsidRPr="00BD38AF" w:rsidRDefault="00BD38AF" w:rsidP="00BD38AF">
      <w:pPr>
        <w:spacing w:before="120" w:after="120" w:line="360" w:lineRule="auto"/>
        <w:ind w:firstLine="709"/>
        <w:jc w:val="both"/>
        <w:rPr>
          <w:rFonts w:eastAsia="Times New Roman" w:cs="Arial"/>
          <w:sz w:val="24"/>
          <w:szCs w:val="24"/>
          <w:lang w:eastAsia="pt-BR"/>
        </w:rPr>
      </w:pPr>
    </w:p>
    <w:p w:rsidR="00BD38AF" w:rsidRPr="00BD38AF" w:rsidRDefault="00BD38AF" w:rsidP="00BD38AF">
      <w:pPr>
        <w:spacing w:before="120" w:after="120" w:line="360" w:lineRule="auto"/>
        <w:contextualSpacing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BD38AF">
        <w:rPr>
          <w:rFonts w:eastAsia="Times New Roman" w:cs="Arial"/>
          <w:b/>
          <w:sz w:val="24"/>
          <w:szCs w:val="24"/>
          <w:lang w:eastAsia="pt-BR"/>
        </w:rPr>
        <w:t>EDINHO SILVA</w:t>
      </w:r>
    </w:p>
    <w:p w:rsidR="00BD38AF" w:rsidRPr="00BD38AF" w:rsidRDefault="00BD38AF" w:rsidP="00BD38AF">
      <w:pPr>
        <w:spacing w:before="120" w:after="120" w:line="360" w:lineRule="auto"/>
        <w:contextualSpacing/>
        <w:jc w:val="center"/>
        <w:rPr>
          <w:rFonts w:eastAsia="Times New Roman" w:cs="Arial"/>
          <w:sz w:val="24"/>
          <w:szCs w:val="24"/>
          <w:lang w:eastAsia="pt-BR"/>
        </w:rPr>
      </w:pPr>
      <w:r w:rsidRPr="00BD38AF">
        <w:rPr>
          <w:rFonts w:eastAsia="Times New Roman" w:cs="Arial"/>
          <w:sz w:val="24"/>
          <w:szCs w:val="24"/>
          <w:lang w:eastAsia="pt-BR"/>
        </w:rPr>
        <w:t>- Prefeito Municipal -</w:t>
      </w:r>
    </w:p>
    <w:p w:rsidR="00BD38AF" w:rsidRPr="00DE71D3" w:rsidRDefault="00BD38AF" w:rsidP="004E0111">
      <w:pPr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sz w:val="24"/>
          <w:szCs w:val="24"/>
          <w:u w:val="single"/>
          <w:lang w:eastAsia="pt-BR"/>
        </w:rPr>
        <w:br w:type="page"/>
      </w:r>
      <w:r w:rsidRPr="00DE71D3">
        <w:rPr>
          <w:rFonts w:cs="Arial"/>
          <w:b/>
          <w:color w:val="000000"/>
          <w:u w:val="single"/>
        </w:rPr>
        <w:lastRenderedPageBreak/>
        <w:t>PROJETO DE LEI Nº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left="3402"/>
        <w:jc w:val="both"/>
        <w:rPr>
          <w:rFonts w:ascii="Calibri" w:hAnsi="Calibri" w:cs="Arial"/>
          <w:color w:val="000000"/>
        </w:rPr>
      </w:pPr>
      <w:r w:rsidRPr="00DE71D3">
        <w:rPr>
          <w:rFonts w:ascii="Calibri" w:hAnsi="Calibri" w:cs="Arial"/>
          <w:color w:val="000000"/>
        </w:rPr>
        <w:t>Estabelece os componentes municipais do Sistema Nacional de Segurança Alimentar e Nutricional – SISAN.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b/>
          <w:color w:val="000000"/>
        </w:rPr>
      </w:pPr>
      <w:r w:rsidRPr="00DE71D3">
        <w:rPr>
          <w:rFonts w:ascii="Calibri" w:hAnsi="Calibri" w:cs="Arial"/>
          <w:b/>
          <w:color w:val="000000"/>
        </w:rPr>
        <w:t>CAPÍTULO I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DISPOSIÇÕES GERAIS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1º</w:t>
      </w:r>
      <w:r w:rsidRPr="00DE71D3">
        <w:rPr>
          <w:rFonts w:ascii="Calibri" w:hAnsi="Calibri" w:cs="Arial"/>
          <w:color w:val="000000"/>
        </w:rPr>
        <w:t>. Esta lei estabelece os componentes municipais do Sistema Nacional de Segurança Alimentar e Nutricional – SISAN, em consonância com os princípios, diretrizes e definições fixados na Lei Federal nº 11.346, de 15 de setembro de 2006, e na sua regulamentação, com vistas a assegurar o direito humano à alimentação adequada.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2º</w:t>
      </w:r>
      <w:r w:rsidRPr="00DE71D3">
        <w:rPr>
          <w:rFonts w:ascii="Calibri" w:hAnsi="Calibri" w:cs="Arial"/>
          <w:color w:val="000000"/>
        </w:rPr>
        <w:t>. Incumbe ao Município adotar as políticas e ações que se façam necessárias para respeitar, proteger, promover e prover o direito humano à alimentação adequada e segurança alimentar e nutricional de toda a sua população.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Parágrafo único.</w:t>
      </w:r>
      <w:r w:rsidRPr="00DE71D3">
        <w:rPr>
          <w:rFonts w:ascii="Calibri" w:hAnsi="Calibri" w:cs="Arial"/>
          <w:color w:val="000000"/>
        </w:rPr>
        <w:t xml:space="preserve"> A adoção das políticas e ações referidas no “caput” deste artigo deverá levar em conta as dimensões ambientais, culturais, econômicas, regionais e sociais do Município, com prioridade para as regiões e populações mais vulneráveis.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3º.</w:t>
      </w:r>
      <w:r w:rsidRPr="00DE71D3">
        <w:rPr>
          <w:rFonts w:ascii="Calibri" w:hAnsi="Calibri" w:cs="Arial"/>
          <w:color w:val="000000"/>
        </w:rPr>
        <w:t xml:space="preserve"> No Município de Araraquara, além do previsto na Lei Federal nº 11.346, de 2006, a segurança alimentar e nutricional abrange também: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 - a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alimentar e nutricional em nível local;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II - a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4º.</w:t>
      </w:r>
      <w:r w:rsidRPr="00DE71D3">
        <w:rPr>
          <w:rFonts w:ascii="Calibri" w:hAnsi="Calibri" w:cs="Arial"/>
          <w:color w:val="000000"/>
        </w:rPr>
        <w:t xml:space="preserve"> Deve também o poder público municipal: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lastRenderedPageBreak/>
        <w:t>I - avaliar, fiscalizar e monitorar a realização do direito humano à alimentação adequada, bem como criar e fortalecer os mecanismos para a sua exigibilidade;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II - empenhar-se na promoção de cooperação técnica com os governos federal, estadual e dos demais municípios do Estado, de modo a contribuir para a realização do direito humano à alimentação adequada.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b/>
          <w:color w:val="000000"/>
        </w:rPr>
      </w:pPr>
      <w:r w:rsidRPr="00DE71D3">
        <w:rPr>
          <w:rFonts w:ascii="Calibri" w:hAnsi="Calibri" w:cs="Arial"/>
          <w:b/>
          <w:color w:val="000000"/>
        </w:rPr>
        <w:t>CAPÍTULO II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COMPONENTES MUNICIPAIS DO SISTEMA NACIONAL DE SEGURANÇA ALIMENTAR E NUTRICIONAL – SISAN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5º.</w:t>
      </w:r>
      <w:r w:rsidRPr="00DE71D3">
        <w:rPr>
          <w:rFonts w:ascii="Calibri" w:hAnsi="Calibri" w:cs="Arial"/>
          <w:color w:val="000000"/>
        </w:rPr>
        <w:t xml:space="preserve"> Integram o Sistema Nacional de Segurança Alimentar e Nutricional – SISAN no âmbito do Município de Araraquara: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 - a Conferência Municipal de Segurança Alimentar e Nutricional – CMSAN</w:t>
      </w:r>
      <w:r w:rsidR="005E4F5E" w:rsidRPr="00DE71D3">
        <w:rPr>
          <w:rFonts w:ascii="Calibri" w:hAnsi="Calibri" w:cs="Arial"/>
          <w:color w:val="000000"/>
        </w:rPr>
        <w:t>, prevista pela Lei Municipal nº 8.973, de 11 de maio de 2017</w:t>
      </w:r>
      <w:r w:rsidRPr="00DE71D3">
        <w:rPr>
          <w:rFonts w:ascii="Calibri" w:hAnsi="Calibri" w:cs="Arial"/>
          <w:color w:val="000000"/>
        </w:rPr>
        <w:t>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II - o Conselho Municipal de Segurança Alimentar e Nutricional – COMSAN</w:t>
      </w:r>
      <w:r w:rsidR="005E4F5E" w:rsidRPr="00DE71D3">
        <w:rPr>
          <w:rFonts w:ascii="Calibri" w:hAnsi="Calibri" w:cs="Arial"/>
          <w:color w:val="000000"/>
        </w:rPr>
        <w:t>, instituído pela Lei Municipal nº 8.973, de 11 de maio de 2017</w:t>
      </w:r>
      <w:r w:rsidRPr="00DE71D3">
        <w:rPr>
          <w:rFonts w:ascii="Calibri" w:hAnsi="Calibri" w:cs="Arial"/>
          <w:color w:val="000000"/>
        </w:rPr>
        <w:t>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III - a Câmara Intersecretarial Municipal de Segurança Alimentar e Nutricional – CAISAN-Municipal</w:t>
      </w:r>
      <w:r w:rsidR="005E4F5E" w:rsidRPr="00DE71D3">
        <w:rPr>
          <w:rFonts w:ascii="Calibri" w:hAnsi="Calibri" w:cs="Arial"/>
          <w:color w:val="000000"/>
        </w:rPr>
        <w:t>, instituída por esta Lei</w:t>
      </w:r>
      <w:r w:rsidRPr="00DE71D3">
        <w:rPr>
          <w:rFonts w:ascii="Calibri" w:hAnsi="Calibri" w:cs="Arial"/>
          <w:color w:val="000000"/>
        </w:rPr>
        <w:t>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IV - instituições privadas, com ou sem fins lucrativos, que manifestem interesse na adesão e que respeitem os critérios, princípios e diretrizes do SISAN, nos termos regulamentados pela Câmara Interministerial de Segurança Alimentar e Nutricional – CAISAN.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Parágrafo único.</w:t>
      </w:r>
      <w:r w:rsidRPr="00DE71D3">
        <w:rPr>
          <w:rFonts w:ascii="Calibri" w:hAnsi="Calibri" w:cs="Arial"/>
          <w:color w:val="000000"/>
        </w:rPr>
        <w:t xml:space="preserve"> </w:t>
      </w:r>
      <w:r w:rsidR="005E4F5E" w:rsidRPr="00DE71D3">
        <w:rPr>
          <w:rFonts w:ascii="Calibri" w:hAnsi="Calibri" w:cs="Arial"/>
          <w:color w:val="000000"/>
        </w:rPr>
        <w:t xml:space="preserve">O regimento interno da </w:t>
      </w:r>
      <w:r w:rsidRPr="00DE71D3">
        <w:rPr>
          <w:rFonts w:ascii="Calibri" w:hAnsi="Calibri" w:cs="Arial"/>
          <w:color w:val="000000"/>
        </w:rPr>
        <w:t>Câmara Intersecretarial de Segurança Alimentar e Nutricional – CAISAN-Municipal ser</w:t>
      </w:r>
      <w:r w:rsidR="005E4F5E" w:rsidRPr="00DE71D3">
        <w:rPr>
          <w:rFonts w:ascii="Calibri" w:hAnsi="Calibri" w:cs="Arial"/>
          <w:color w:val="000000"/>
        </w:rPr>
        <w:t>á editado por ato próprio do Chefe do Executivo</w:t>
      </w:r>
      <w:r w:rsidRPr="00DE71D3">
        <w:rPr>
          <w:rFonts w:ascii="Calibri" w:hAnsi="Calibri" w:cs="Arial"/>
          <w:color w:val="000000"/>
        </w:rPr>
        <w:t>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 xml:space="preserve">Art. </w:t>
      </w:r>
      <w:r w:rsidR="005E4F5E" w:rsidRPr="00DE71D3">
        <w:rPr>
          <w:rFonts w:ascii="Calibri" w:hAnsi="Calibri" w:cs="Arial"/>
          <w:b/>
          <w:color w:val="000000"/>
        </w:rPr>
        <w:t>6</w:t>
      </w:r>
      <w:r w:rsidRPr="00DE71D3">
        <w:rPr>
          <w:rFonts w:ascii="Calibri" w:hAnsi="Calibri" w:cs="Arial"/>
          <w:b/>
          <w:color w:val="000000"/>
        </w:rPr>
        <w:t>º.</w:t>
      </w:r>
      <w:r w:rsidRPr="00DE71D3">
        <w:rPr>
          <w:rFonts w:ascii="Calibri" w:hAnsi="Calibri" w:cs="Arial"/>
          <w:color w:val="000000"/>
        </w:rPr>
        <w:t xml:space="preserve"> São atribuições da Câmara Intersecretarial Municipal de Segurança Alimentar e Nutricional – CAISAN-Municipal, dentre outras afins: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 - elaborar, a partir das diretrizes e prioridades emanadas da Conferência Municipal de Segurança Alimentar e Nutricional – CMSAN e do Conselho Municipal de Segurança Alimentar e Nutricional – COMSAN, a Política e o Plano Municipal de Segurança Alimentar e Nutricional, indicando diretrizes, metas, fontes de recursos e instrumentos de acompanhamento, monitoramento e avaliação de sua implementação;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lastRenderedPageBreak/>
        <w:t>II - coordenar a execução da Política e do Plano Municipal de Segurança Alimentar e Nutricional;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III - monitorar, avaliar e prestar contas da execução da Política e do Plano Municipal de Segurança Alimentar e Nutricional.</w:t>
      </w:r>
    </w:p>
    <w:p w:rsidR="00BD38AF" w:rsidRPr="00DE71D3" w:rsidRDefault="005E4F5E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  <w:r w:rsidRPr="00DE71D3">
        <w:rPr>
          <w:rFonts w:ascii="Calibri" w:hAnsi="Calibri" w:cs="Arial"/>
          <w:color w:val="000000"/>
        </w:rPr>
        <w:t>§1º.</w:t>
      </w:r>
      <w:r w:rsidRPr="00DE71D3">
        <w:rPr>
          <w:rFonts w:ascii="Calibri" w:hAnsi="Calibri" w:cs="Arial"/>
          <w:b/>
          <w:color w:val="000000"/>
        </w:rPr>
        <w:t xml:space="preserve"> </w:t>
      </w:r>
      <w:r w:rsidR="00BD38AF" w:rsidRPr="00DE71D3">
        <w:rPr>
          <w:rFonts w:ascii="Calibri" w:hAnsi="Calibri" w:cs="Arial"/>
          <w:color w:val="000000"/>
        </w:rPr>
        <w:t xml:space="preserve">A CAISAN-Municipal será composta pelos Titulares das Secretarias Municipais cujas </w:t>
      </w:r>
      <w:r w:rsidRPr="00DE71D3">
        <w:rPr>
          <w:rFonts w:ascii="Calibri" w:hAnsi="Calibri" w:cs="Arial"/>
          <w:color w:val="000000"/>
        </w:rPr>
        <w:t>a</w:t>
      </w:r>
      <w:r w:rsidR="00BD38AF" w:rsidRPr="00DE71D3">
        <w:rPr>
          <w:rFonts w:ascii="Calibri" w:hAnsi="Calibri" w:cs="Arial"/>
          <w:color w:val="000000"/>
        </w:rPr>
        <w:t>tribuições estejam afetas à consecução da segurança alimentar e nutricional.</w:t>
      </w:r>
    </w:p>
    <w:p w:rsidR="005E4F5E" w:rsidRPr="00DE71D3" w:rsidRDefault="005E4F5E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color w:val="000000"/>
        </w:rPr>
        <w:t>§2º. A designação referida no parágrafo anterior será feita por Portaria do Chefe do Executivo.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b/>
          <w:color w:val="000000"/>
        </w:rPr>
      </w:pPr>
      <w:r w:rsidRPr="00DE71D3">
        <w:rPr>
          <w:rFonts w:ascii="Calibri" w:hAnsi="Calibri" w:cs="Arial"/>
          <w:b/>
          <w:color w:val="000000"/>
        </w:rPr>
        <w:t>CAPÍTULO III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jc w:val="center"/>
        <w:rPr>
          <w:rFonts w:ascii="Calibri" w:hAnsi="Calibri" w:cs="Tahoma"/>
          <w:b/>
          <w:color w:val="000000"/>
        </w:rPr>
      </w:pPr>
      <w:r w:rsidRPr="00DE71D3">
        <w:rPr>
          <w:rFonts w:ascii="Calibri" w:hAnsi="Calibri" w:cs="Arial"/>
          <w:b/>
          <w:color w:val="000000"/>
        </w:rPr>
        <w:t>DISPOSIÇÕES FINAIS E TRANSITÓRIAS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 xml:space="preserve">Art. </w:t>
      </w:r>
      <w:r w:rsidR="005E4F5E" w:rsidRPr="00DE71D3">
        <w:rPr>
          <w:rFonts w:ascii="Calibri" w:hAnsi="Calibri" w:cs="Arial"/>
          <w:b/>
          <w:color w:val="000000"/>
        </w:rPr>
        <w:t>7</w:t>
      </w:r>
      <w:r w:rsidRPr="00DE71D3">
        <w:rPr>
          <w:rFonts w:ascii="Calibri" w:hAnsi="Calibri" w:cs="Arial"/>
          <w:b/>
          <w:color w:val="000000"/>
        </w:rPr>
        <w:t>º.</w:t>
      </w:r>
      <w:r w:rsidRPr="00DE71D3">
        <w:rPr>
          <w:rFonts w:ascii="Calibri" w:hAnsi="Calibri" w:cs="Arial"/>
          <w:color w:val="000000"/>
        </w:rPr>
        <w:t xml:space="preserve"> O Executivo regulamentará esta lei, no que couber, no prazo de 90 (noventa) dias, contados da data de sua publicação.</w:t>
      </w:r>
    </w:p>
    <w:p w:rsidR="00BD38AF" w:rsidRPr="00DE71D3" w:rsidRDefault="00BD38AF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 xml:space="preserve">Art. </w:t>
      </w:r>
      <w:r w:rsidR="005E4F5E" w:rsidRPr="00DE71D3">
        <w:rPr>
          <w:rFonts w:ascii="Calibri" w:hAnsi="Calibri" w:cs="Arial"/>
          <w:b/>
          <w:color w:val="000000"/>
        </w:rPr>
        <w:t>8º</w:t>
      </w:r>
      <w:r w:rsidRPr="00DE71D3">
        <w:rPr>
          <w:rFonts w:ascii="Calibri" w:hAnsi="Calibri" w:cs="Arial"/>
          <w:b/>
          <w:color w:val="000000"/>
        </w:rPr>
        <w:t>.</w:t>
      </w:r>
      <w:r w:rsidRPr="00DE71D3">
        <w:rPr>
          <w:rFonts w:ascii="Calibri" w:hAnsi="Calibri" w:cs="Arial"/>
          <w:color w:val="000000"/>
        </w:rPr>
        <w:t xml:space="preserve"> As despesas com a execução desta lei correrão por conta das dotações orçamentárias próprias, suplementadas se necessário.</w:t>
      </w:r>
    </w:p>
    <w:p w:rsidR="00BD38AF" w:rsidRPr="00DE71D3" w:rsidRDefault="005E4F5E" w:rsidP="00BD38AF">
      <w:pPr>
        <w:pStyle w:val="NormalWeb"/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Tahoma"/>
          <w:color w:val="000000"/>
        </w:rPr>
      </w:pPr>
      <w:r w:rsidRPr="00DE71D3">
        <w:rPr>
          <w:rFonts w:ascii="Calibri" w:hAnsi="Calibri" w:cs="Arial"/>
          <w:b/>
          <w:color w:val="000000"/>
        </w:rPr>
        <w:t>Art. 9º</w:t>
      </w:r>
      <w:r w:rsidR="00BD38AF" w:rsidRPr="00DE71D3">
        <w:rPr>
          <w:rFonts w:ascii="Calibri" w:hAnsi="Calibri" w:cs="Arial"/>
          <w:b/>
          <w:color w:val="000000"/>
        </w:rPr>
        <w:t>.</w:t>
      </w:r>
      <w:r w:rsidR="00BD38AF" w:rsidRPr="00DE71D3">
        <w:rPr>
          <w:rFonts w:ascii="Calibri" w:hAnsi="Calibri" w:cs="Arial"/>
          <w:color w:val="000000"/>
        </w:rPr>
        <w:t xml:space="preserve"> Esta lei entrará em vigor na data de sua publicação.</w:t>
      </w:r>
    </w:p>
    <w:p w:rsidR="00617CB4" w:rsidRDefault="00BD38AF" w:rsidP="00BD38AF">
      <w:pPr>
        <w:spacing w:before="120"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PREFEITURA DO MUNICÍPIO DE ARARAQUARA, </w:t>
      </w:r>
      <w:r>
        <w:rPr>
          <w:sz w:val="24"/>
          <w:szCs w:val="24"/>
        </w:rPr>
        <w:t>aos 29 (vinte e nove) dias do mês de novembro do ano de 207 (dois mil e dezessete).</w:t>
      </w:r>
    </w:p>
    <w:p w:rsidR="00BD38AF" w:rsidRDefault="00BD38AF" w:rsidP="00BD38AF">
      <w:pPr>
        <w:spacing w:before="120" w:after="120" w:line="360" w:lineRule="auto"/>
        <w:rPr>
          <w:sz w:val="24"/>
          <w:szCs w:val="24"/>
        </w:rPr>
      </w:pPr>
    </w:p>
    <w:p w:rsidR="00BD38AF" w:rsidRDefault="00BD38AF" w:rsidP="00BD38A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EDINHO SILVA</w:t>
      </w:r>
    </w:p>
    <w:p w:rsidR="00BD38AF" w:rsidRPr="00DE71D3" w:rsidRDefault="00BD38AF" w:rsidP="00BD38AF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 Prefeito Municipal -</w:t>
      </w:r>
    </w:p>
    <w:sectPr w:rsidR="00BD38AF" w:rsidRPr="00DE71D3" w:rsidSect="005E4F5E">
      <w:headerReference w:type="default" r:id="rId6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FF" w:rsidRDefault="00A348FF" w:rsidP="00BD38AF">
      <w:pPr>
        <w:spacing w:after="0" w:line="240" w:lineRule="auto"/>
      </w:pPr>
      <w:r>
        <w:separator/>
      </w:r>
    </w:p>
  </w:endnote>
  <w:endnote w:type="continuationSeparator" w:id="0">
    <w:p w:rsidR="00A348FF" w:rsidRDefault="00A348FF" w:rsidP="00BD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FF" w:rsidRDefault="00A348FF" w:rsidP="00BD38AF">
      <w:pPr>
        <w:spacing w:after="0" w:line="240" w:lineRule="auto"/>
      </w:pPr>
      <w:r>
        <w:separator/>
      </w:r>
    </w:p>
  </w:footnote>
  <w:footnote w:type="continuationSeparator" w:id="0">
    <w:p w:rsidR="00A348FF" w:rsidRDefault="00A348FF" w:rsidP="00BD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8AF" w:rsidRPr="00BD38AF" w:rsidRDefault="0072608B" w:rsidP="00BD38AF">
    <w:pPr>
      <w:keepNext/>
      <w:tabs>
        <w:tab w:val="left" w:pos="6237"/>
      </w:tabs>
      <w:spacing w:before="240" w:after="60" w:line="240" w:lineRule="auto"/>
      <w:jc w:val="center"/>
      <w:outlineLvl w:val="0"/>
      <w:rPr>
        <w:rFonts w:eastAsia="Times New Roman" w:cs="Arial"/>
        <w:b/>
        <w:bCs/>
        <w:kern w:val="32"/>
        <w:sz w:val="32"/>
        <w:szCs w:val="2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-11430</wp:posOffset>
          </wp:positionV>
          <wp:extent cx="1116965" cy="702310"/>
          <wp:effectExtent l="0" t="0" r="6985" b="2540"/>
          <wp:wrapSquare wrapText="bothSides"/>
          <wp:docPr id="4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-125730</wp:posOffset>
          </wp:positionV>
          <wp:extent cx="798195" cy="878205"/>
          <wp:effectExtent l="0" t="0" r="1905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8AF" w:rsidRPr="00BD38AF">
      <w:rPr>
        <w:rFonts w:eastAsia="Times New Roman" w:cs="Arial"/>
        <w:b/>
        <w:bCs/>
        <w:kern w:val="32"/>
        <w:sz w:val="32"/>
        <w:szCs w:val="24"/>
        <w:lang w:eastAsia="pt-BR"/>
      </w:rPr>
      <w:t>MUNICÍPIO DE ARARAQUARA</w:t>
    </w:r>
  </w:p>
  <w:p w:rsidR="00BD38AF" w:rsidRDefault="00BD38AF" w:rsidP="00BD38AF">
    <w:pPr>
      <w:spacing w:after="0" w:line="240" w:lineRule="auto"/>
      <w:jc w:val="center"/>
      <w:rPr>
        <w:rFonts w:eastAsia="Times New Roman"/>
        <w:sz w:val="20"/>
        <w:szCs w:val="20"/>
        <w:lang w:eastAsia="pt-BR"/>
      </w:rPr>
    </w:pPr>
    <w:r w:rsidRPr="00BD38AF">
      <w:rPr>
        <w:rFonts w:eastAsia="Times New Roman"/>
        <w:sz w:val="20"/>
        <w:szCs w:val="20"/>
        <w:lang w:eastAsia="pt-BR"/>
      </w:rPr>
      <w:t xml:space="preserve">- GABINETE DO PREFEITO </w:t>
    </w:r>
    <w:r w:rsidR="008263C1">
      <w:rPr>
        <w:rFonts w:eastAsia="Times New Roman"/>
        <w:sz w:val="20"/>
        <w:szCs w:val="20"/>
        <w:lang w:eastAsia="pt-BR"/>
      </w:rPr>
      <w:t>–</w:t>
    </w:r>
  </w:p>
  <w:p w:rsidR="008263C1" w:rsidRPr="00BD38AF" w:rsidRDefault="008263C1" w:rsidP="00BD38AF">
    <w:pPr>
      <w:spacing w:after="0" w:line="240" w:lineRule="auto"/>
      <w:jc w:val="center"/>
      <w:rPr>
        <w:rFonts w:eastAsia="Times New Roman"/>
        <w:sz w:val="20"/>
        <w:szCs w:val="20"/>
        <w:lang w:eastAsia="pt-BR"/>
      </w:rPr>
    </w:pPr>
  </w:p>
  <w:p w:rsidR="00BD38AF" w:rsidRDefault="00BD38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AF"/>
    <w:rsid w:val="004A17E9"/>
    <w:rsid w:val="004E0111"/>
    <w:rsid w:val="005E4F5E"/>
    <w:rsid w:val="00617CB4"/>
    <w:rsid w:val="0072608B"/>
    <w:rsid w:val="008263C1"/>
    <w:rsid w:val="00905292"/>
    <w:rsid w:val="00A348FF"/>
    <w:rsid w:val="00BD38AF"/>
    <w:rsid w:val="00C5448C"/>
    <w:rsid w:val="00D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119005-A68E-410B-931F-BCDCA3E9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8AF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3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8AF"/>
  </w:style>
  <w:style w:type="paragraph" w:styleId="Rodap">
    <w:name w:val="footer"/>
    <w:basedOn w:val="Normal"/>
    <w:link w:val="RodapChar"/>
    <w:uiPriority w:val="99"/>
    <w:unhideWhenUsed/>
    <w:rsid w:val="00BD3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Gomes Esteves Neto</dc:creator>
  <cp:keywords/>
  <cp:lastModifiedBy>Valdemar M. Neto Mendonça</cp:lastModifiedBy>
  <cp:revision>2</cp:revision>
  <dcterms:created xsi:type="dcterms:W3CDTF">2017-11-30T19:41:00Z</dcterms:created>
  <dcterms:modified xsi:type="dcterms:W3CDTF">2017-11-30T19:41:00Z</dcterms:modified>
</cp:coreProperties>
</file>