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7B2AC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B2ACE">
        <w:rPr>
          <w:rFonts w:ascii="Tahoma" w:hAnsi="Tahoma" w:cs="Tahoma"/>
          <w:b/>
          <w:sz w:val="32"/>
          <w:szCs w:val="32"/>
          <w:u w:val="single"/>
        </w:rPr>
        <w:t>231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B2ACE">
        <w:rPr>
          <w:rFonts w:ascii="Tahoma" w:hAnsi="Tahoma" w:cs="Tahoma"/>
          <w:b/>
          <w:sz w:val="32"/>
          <w:szCs w:val="32"/>
          <w:u w:val="single"/>
        </w:rPr>
        <w:t>269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7B2ACE" w:rsidRPr="003A3A7C" w:rsidRDefault="007B2AC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B2ACE">
        <w:rPr>
          <w:rFonts w:ascii="Calibri" w:hAnsi="Calibri" w:cs="Calibri"/>
          <w:sz w:val="22"/>
          <w:szCs w:val="22"/>
        </w:rPr>
        <w:t>Aumenta o número de vagas dos empregos públicos que especifica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Art. 1º. Ficam alterado o número de vagas dos seguintes empregos públicos: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I – Assistente Social: 70 (setenta) vagas;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II – Psicólogo: 135 (cento e trinta e cinco) vagas;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III – Fisioterapeuta: 25 (vinte e cinco) vagas;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IV – Agente Educacional: 1.100 (mil e cem) vagas;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V – Monitor de Educação Física: 80 (oitenta) vagas;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VI – Orientador Desportivo: 50 (cinquenta) vagas.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Parágrafo único. Tais alterações inserem-se no Anexo I da Lei Municipal nº 6.251, de 19 de abril de 2005.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7B2ACE" w:rsidRP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Art. 2º. As despesas decorrentes da execução da presente Lei correrão por conta de dotações orçamentárias próprias, suplementadas se necessário.</w:t>
      </w:r>
    </w:p>
    <w:p w:rsidR="007B2ACE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6D45F8" w:rsidRPr="00BB48C7" w:rsidRDefault="007B2ACE" w:rsidP="007B2ACE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B2ACE">
        <w:rPr>
          <w:rFonts w:ascii="Calibri" w:hAnsi="Calibri" w:cs="Calibri"/>
          <w:sz w:val="24"/>
          <w:szCs w:val="24"/>
        </w:rPr>
        <w:t>Art. 3º. Esta Lei entra em vigor na data de sua publicação.</w:t>
      </w:r>
    </w:p>
    <w:p w:rsidR="007B2ACE" w:rsidRDefault="007B2ACE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B2AC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B2AC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B2A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B2ACE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2</cp:revision>
  <cp:lastPrinted>2017-04-25T15:43:00Z</cp:lastPrinted>
  <dcterms:created xsi:type="dcterms:W3CDTF">2017-09-19T19:54:00Z</dcterms:created>
  <dcterms:modified xsi:type="dcterms:W3CDTF">2017-09-19T19:54:00Z</dcterms:modified>
</cp:coreProperties>
</file>