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D700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B6CB9">
        <w:rPr>
          <w:rFonts w:ascii="Tahoma" w:hAnsi="Tahoma" w:cs="Tahoma"/>
          <w:b/>
          <w:sz w:val="32"/>
          <w:szCs w:val="32"/>
          <w:u w:val="single"/>
        </w:rPr>
        <w:t>212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B6CB9">
        <w:rPr>
          <w:rFonts w:ascii="Tahoma" w:hAnsi="Tahoma" w:cs="Tahoma"/>
          <w:b/>
          <w:sz w:val="32"/>
          <w:szCs w:val="32"/>
          <w:u w:val="single"/>
        </w:rPr>
        <w:t>253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D700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Altera o parágrafo único do a</w:t>
      </w:r>
      <w:r w:rsidR="005B6CB9" w:rsidRPr="005B6CB9">
        <w:rPr>
          <w:rFonts w:ascii="Calibri" w:hAnsi="Calibri" w:cs="Calibri"/>
          <w:sz w:val="22"/>
          <w:szCs w:val="22"/>
        </w:rPr>
        <w:t>rt. 1º da Lei nº 8.417, de 05 de março de 2015.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B6CB9" w:rsidRPr="005B6CB9" w:rsidRDefault="005B6CB9" w:rsidP="005B6C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B6CB9">
        <w:rPr>
          <w:rFonts w:ascii="Calibri" w:hAnsi="Calibri" w:cs="Calibri"/>
          <w:sz w:val="24"/>
          <w:szCs w:val="24"/>
        </w:rPr>
        <w:t xml:space="preserve">Art. 1º O parágrafo único do </w:t>
      </w:r>
      <w:r>
        <w:rPr>
          <w:rFonts w:ascii="Calibri" w:hAnsi="Calibri" w:cs="Calibri"/>
          <w:sz w:val="24"/>
          <w:szCs w:val="24"/>
        </w:rPr>
        <w:t>a</w:t>
      </w:r>
      <w:r w:rsidRPr="005B6CB9">
        <w:rPr>
          <w:rFonts w:ascii="Calibri" w:hAnsi="Calibri" w:cs="Calibri"/>
          <w:sz w:val="24"/>
          <w:szCs w:val="24"/>
        </w:rPr>
        <w:t>rt. 1º da Lei nº 8.417, de 05 de março de 201</w:t>
      </w:r>
      <w:r>
        <w:rPr>
          <w:rFonts w:ascii="Calibri" w:hAnsi="Calibri" w:cs="Calibri"/>
          <w:sz w:val="24"/>
          <w:szCs w:val="24"/>
        </w:rPr>
        <w:t>5</w:t>
      </w:r>
      <w:r w:rsidRPr="005B6CB9">
        <w:rPr>
          <w:rFonts w:ascii="Calibri" w:hAnsi="Calibri" w:cs="Calibri"/>
          <w:sz w:val="24"/>
          <w:szCs w:val="24"/>
        </w:rPr>
        <w:t>, passa a vigorar com a seguinte redação:</w:t>
      </w:r>
    </w:p>
    <w:p w:rsidR="005B6CB9" w:rsidRDefault="005B6CB9" w:rsidP="005B6C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B6CB9" w:rsidRPr="005B6CB9" w:rsidRDefault="005B6CB9" w:rsidP="005B6CB9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5B6CB9">
        <w:rPr>
          <w:rFonts w:ascii="Calibri" w:hAnsi="Calibri" w:cs="Calibri"/>
          <w:sz w:val="24"/>
          <w:szCs w:val="24"/>
        </w:rPr>
        <w:t>“Parágrafo único. A gratificação referida no caput deste artigo não se aplica aos auxiliares de saúde bucal que estejam exercendo a função atividade de auxiliar de cirurgião dentista – PSF.”</w:t>
      </w:r>
    </w:p>
    <w:p w:rsidR="005B6CB9" w:rsidRDefault="005B6CB9" w:rsidP="005B6C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5B6CB9" w:rsidP="005B6C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B6CB9">
        <w:rPr>
          <w:rFonts w:ascii="Calibri" w:hAnsi="Calibri" w:cs="Calibri"/>
          <w:sz w:val="24"/>
          <w:szCs w:val="24"/>
        </w:rPr>
        <w:t xml:space="preserve">Art. 2º. Esta </w:t>
      </w:r>
      <w:r>
        <w:rPr>
          <w:rFonts w:ascii="Calibri" w:hAnsi="Calibri" w:cs="Calibri"/>
          <w:sz w:val="24"/>
          <w:szCs w:val="24"/>
        </w:rPr>
        <w:t>l</w:t>
      </w:r>
      <w:r w:rsidRPr="005B6CB9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C7B9C">
        <w:rPr>
          <w:rFonts w:ascii="Calibri" w:hAnsi="Calibri" w:cs="Calibri"/>
          <w:sz w:val="24"/>
          <w:szCs w:val="24"/>
        </w:rPr>
        <w:t>0</w:t>
      </w:r>
      <w:r w:rsidR="00635B49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635B49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635B49">
        <w:rPr>
          <w:rFonts w:ascii="Calibri" w:hAnsi="Calibri" w:cs="Calibri"/>
          <w:sz w:val="24"/>
          <w:szCs w:val="24"/>
        </w:rPr>
        <w:t>setembr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D700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D700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B6CB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D700B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78</cp:revision>
  <cp:lastPrinted>2017-04-25T15:43:00Z</cp:lastPrinted>
  <dcterms:created xsi:type="dcterms:W3CDTF">2016-08-16T19:55:00Z</dcterms:created>
  <dcterms:modified xsi:type="dcterms:W3CDTF">2017-09-05T21:49:00Z</dcterms:modified>
</cp:coreProperties>
</file>