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AC05F2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AC05F2">
        <w:rPr>
          <w:rFonts w:ascii="Arial" w:hAnsi="Arial" w:cs="Arial"/>
          <w:sz w:val="24"/>
          <w:szCs w:val="24"/>
        </w:rPr>
        <w:t>agost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 o Projeto de Lei</w:t>
      </w:r>
      <w:r w:rsidR="00AC05F2">
        <w:rPr>
          <w:rFonts w:ascii="Arial" w:hAnsi="Arial" w:cs="Arial"/>
          <w:sz w:val="24"/>
          <w:szCs w:val="24"/>
        </w:rPr>
        <w:t xml:space="preserve"> Complementar</w:t>
      </w:r>
      <w:r w:rsidR="00CE7817" w:rsidRPr="00EF7583">
        <w:rPr>
          <w:rFonts w:ascii="Arial" w:hAnsi="Arial" w:cs="Arial"/>
          <w:sz w:val="24"/>
          <w:szCs w:val="24"/>
        </w:rPr>
        <w:t xml:space="preserve"> nº 0</w:t>
      </w:r>
      <w:r w:rsidR="00AC05F2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/17</w:t>
      </w:r>
      <w:r w:rsidR="00AC05F2">
        <w:rPr>
          <w:rFonts w:ascii="Arial" w:hAnsi="Arial" w:cs="Arial"/>
          <w:sz w:val="24"/>
          <w:szCs w:val="24"/>
        </w:rPr>
        <w:t>, em primeira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AC05F2">
        <w:rPr>
          <w:rFonts w:ascii="Arial" w:hAnsi="Arial" w:cs="Arial"/>
          <w:sz w:val="24"/>
          <w:szCs w:val="24"/>
        </w:rPr>
        <w:t>bem como suas emendas e subemendas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Pr="00B47532" w:rsidRDefault="00EF7583" w:rsidP="00B47532">
      <w:pPr>
        <w:ind w:right="-91"/>
        <w:jc w:val="center"/>
        <w:rPr>
          <w:rFonts w:ascii="Arial" w:hAnsi="Arial" w:cs="Arial"/>
          <w:b/>
          <w:bCs/>
          <w:sz w:val="29"/>
          <w:szCs w:val="29"/>
        </w:rPr>
      </w:pPr>
      <w:r w:rsidRPr="00B47532">
        <w:rPr>
          <w:b/>
          <w:bCs/>
          <w:sz w:val="29"/>
          <w:szCs w:val="29"/>
        </w:rPr>
        <w:t xml:space="preserve">NOVA REDAÇÃO AO </w:t>
      </w:r>
      <w:r w:rsidR="00CC2294" w:rsidRPr="00B47532">
        <w:rPr>
          <w:b/>
          <w:bCs/>
          <w:sz w:val="29"/>
          <w:szCs w:val="29"/>
        </w:rPr>
        <w:t>PROJETO DE LEI</w:t>
      </w:r>
      <w:r w:rsidR="00B47532" w:rsidRPr="00B47532">
        <w:rPr>
          <w:b/>
          <w:bCs/>
          <w:sz w:val="29"/>
          <w:szCs w:val="29"/>
        </w:rPr>
        <w:t xml:space="preserve"> COMPLEMENTAR</w:t>
      </w:r>
      <w:r w:rsidR="00CC2294" w:rsidRPr="00B47532">
        <w:rPr>
          <w:b/>
          <w:bCs/>
          <w:sz w:val="29"/>
          <w:szCs w:val="29"/>
        </w:rPr>
        <w:t xml:space="preserve"> Nº 0</w:t>
      </w:r>
      <w:r w:rsidR="00B47532" w:rsidRPr="00B47532">
        <w:rPr>
          <w:b/>
          <w:bCs/>
          <w:sz w:val="29"/>
          <w:szCs w:val="29"/>
        </w:rPr>
        <w:t>0</w:t>
      </w:r>
      <w:r w:rsidR="00A21A11" w:rsidRPr="00B47532">
        <w:rPr>
          <w:b/>
          <w:bCs/>
          <w:sz w:val="29"/>
          <w:szCs w:val="29"/>
        </w:rPr>
        <w:t>3</w:t>
      </w:r>
      <w:r w:rsidR="00CC2294" w:rsidRPr="00B47532">
        <w:rPr>
          <w:b/>
          <w:bCs/>
          <w:sz w:val="29"/>
          <w:szCs w:val="29"/>
        </w:rPr>
        <w:t>/17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4753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47532">
        <w:rPr>
          <w:rFonts w:ascii="Arial" w:hAnsi="Arial" w:cs="Arial"/>
          <w:sz w:val="22"/>
          <w:szCs w:val="22"/>
        </w:rPr>
        <w:t>Introduz alterações na Lei Complementar nº 17, de 1º de dezembro de 1997, que institui o Código Tributário do Município de Araraquara,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7532">
        <w:rPr>
          <w:rFonts w:ascii="Arial" w:hAnsi="Arial" w:cs="Arial"/>
          <w:sz w:val="24"/>
          <w:szCs w:val="24"/>
        </w:rPr>
        <w:t>Art. 1º O Anexo I da Lei Complementar nº 17, de 1º de dezembro de 1997, que institui o Código Tributário Municipal, passa a vigorar com as seguintes alterações:</w:t>
      </w:r>
    </w:p>
    <w:p w:rsid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7532" w:rsidRP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B47532">
        <w:rPr>
          <w:rFonts w:ascii="Arial" w:hAnsi="Arial" w:cs="Arial"/>
          <w:sz w:val="24"/>
          <w:szCs w:val="24"/>
        </w:rPr>
        <w:t>Anexo I</w:t>
      </w:r>
    </w:p>
    <w:p w:rsidR="00B47532" w:rsidRP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B47532">
        <w:rPr>
          <w:rFonts w:ascii="Arial" w:hAnsi="Arial" w:cs="Arial"/>
          <w:sz w:val="24"/>
          <w:szCs w:val="24"/>
        </w:rPr>
        <w:t>Lista de serviços tributáveis e alíquotas do Imposto sobre Serviços de Qualquer Natureza – ISSQN</w:t>
      </w:r>
    </w:p>
    <w:p w:rsidR="00B47532" w:rsidRP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"/>
        <w:gridCol w:w="17"/>
        <w:gridCol w:w="1328"/>
        <w:gridCol w:w="150"/>
        <w:gridCol w:w="3090"/>
        <w:gridCol w:w="74"/>
        <w:gridCol w:w="1473"/>
        <w:gridCol w:w="973"/>
        <w:gridCol w:w="303"/>
        <w:gridCol w:w="1497"/>
        <w:gridCol w:w="204"/>
      </w:tblGrid>
      <w:tr w:rsidR="001D277E" w:rsidRPr="00B35406" w:rsidTr="00B35406">
        <w:trPr>
          <w:gridBefore w:val="1"/>
          <w:wBefore w:w="95" w:type="dxa"/>
          <w:tblHeader/>
          <w:jc w:val="center"/>
        </w:trPr>
        <w:tc>
          <w:tcPr>
            <w:tcW w:w="1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35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Item e Subitem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Atividades Tributadas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35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 xml:space="preserve">Quantidade de UFM por </w:t>
            </w:r>
            <w:r w:rsidR="00B35406">
              <w:rPr>
                <w:rFonts w:ascii="Arial" w:hAnsi="Arial" w:cs="Arial"/>
                <w:sz w:val="24"/>
                <w:szCs w:val="24"/>
              </w:rPr>
              <w:t>a</w:t>
            </w:r>
            <w:bookmarkStart w:id="0" w:name="_GoBack"/>
            <w:bookmarkEnd w:id="0"/>
            <w:r w:rsidRPr="00B35406">
              <w:rPr>
                <w:rFonts w:ascii="Arial" w:hAnsi="Arial" w:cs="Arial"/>
                <w:sz w:val="24"/>
                <w:szCs w:val="24"/>
              </w:rPr>
              <w:t>no (Autônomo e Profissional Liberal)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35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B35406">
              <w:rPr>
                <w:rFonts w:ascii="Arial" w:hAnsi="Arial" w:cs="Arial"/>
                <w:sz w:val="24"/>
                <w:szCs w:val="24"/>
              </w:rPr>
              <w:t>sobre a receita auferida (empresas e cartórios)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B35406" w:rsidP="00B35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de UFM por ano (sociedades profissionais)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1.01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1.03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Processamento, armazenamento ou hospedagem de dados, textos, imagens, vídeos, páginas eletrônicas, aplicativos e sistemas de informação, entre outros formatos, e congêneres.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1.04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Elaboração de programas de computadores, inclusive de jogos eletrônicos, independentemente da </w:t>
            </w: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arquitetura construtiva da máquina em que o programa será executado, incluindo</w:t>
            </w:r>
            <w:r w:rsidRPr="00B35406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B354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tablets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B35406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B354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smartphones</w:t>
            </w:r>
            <w:r w:rsidRPr="00B35406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e congêneres.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lastRenderedPageBreak/>
              <w:t>1.05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1.07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Disponibilização, sem cessão definitiva, de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conteúdos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 de áudio, vídeo, imagem e texto por meio da internet, respeitada a imunidade de livros, jornais e periódicos (exceto a distribuição de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conteúdos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 pelas prestadoras de Serviço de Acesso Condicionado, de que trata a</w:t>
            </w:r>
            <w:r w:rsidRPr="00B35406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hyperlink r:id="rId6" w:history="1">
              <w:r w:rsidRPr="00B35406">
                <w:rPr>
                  <w:rStyle w:val="Hyperlink"/>
                  <w:rFonts w:ascii="Arial" w:hAnsi="Arial" w:cs="Arial"/>
                  <w:sz w:val="24"/>
                  <w:szCs w:val="24"/>
                </w:rPr>
                <w:t>Lei n</w:t>
              </w:r>
              <w:r w:rsidRPr="00B35406">
                <w:rPr>
                  <w:rStyle w:val="Hyperlink"/>
                  <w:rFonts w:ascii="Arial" w:hAnsi="Arial" w:cs="Arial"/>
                  <w:sz w:val="24"/>
                  <w:szCs w:val="24"/>
                  <w:vertAlign w:val="superscript"/>
                </w:rPr>
                <w:t>o</w:t>
              </w:r>
              <w:r w:rsidRPr="00B35406">
                <w:rPr>
                  <w:rStyle w:val="apple-converted-space"/>
                  <w:rFonts w:ascii="Arial" w:hAnsi="Arial" w:cs="Arial"/>
                  <w:sz w:val="24"/>
                  <w:szCs w:val="24"/>
                </w:rPr>
                <w:t> </w:t>
              </w:r>
              <w:r w:rsidRPr="00B35406">
                <w:rPr>
                  <w:rStyle w:val="Hyperlink"/>
                  <w:rFonts w:ascii="Arial" w:hAnsi="Arial" w:cs="Arial"/>
                  <w:sz w:val="24"/>
                  <w:szCs w:val="24"/>
                </w:rPr>
                <w:t>12.485, de 12 de setembro de 2011</w:t>
              </w:r>
            </w:hyperlink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, sujeita ao ICMS).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6.01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6.02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6.03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6.04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6.05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6.06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Aplicação de tatuagens,</w:t>
            </w:r>
            <w:r w:rsidRPr="00B35406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B354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piercings</w:t>
            </w:r>
            <w:proofErr w:type="spellEnd"/>
            <w:r w:rsidRPr="00B35406">
              <w:rPr>
                <w:rStyle w:val="apple-converted-space"/>
                <w:rFonts w:ascii="Arial" w:hAnsi="Arial" w:cs="Arial"/>
                <w:i/>
                <w:iCs/>
                <w:color w:val="000000"/>
                <w:sz w:val="24"/>
                <w:szCs w:val="24"/>
              </w:rPr>
              <w:t> </w:t>
            </w: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e congêneres.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2"/>
          <w:wBefore w:w="112" w:type="dxa"/>
          <w:cantSplit/>
          <w:jc w:val="center"/>
        </w:trPr>
        <w:tc>
          <w:tcPr>
            <w:tcW w:w="1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7.01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7.02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trHeight w:val="214"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7.03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lastRenderedPageBreak/>
              <w:t>7.04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Before w:val="1"/>
          <w:wBefore w:w="95" w:type="dxa"/>
          <w:cantSplit/>
          <w:jc w:val="center"/>
        </w:trPr>
        <w:tc>
          <w:tcPr>
            <w:tcW w:w="1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7.05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7.06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7.07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7.08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7.09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7.10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trHeight w:val="86"/>
          <w:jc w:val="center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spacing w:line="8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7.12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spacing w:line="8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spacing w:line="8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spacing w:line="8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spacing w:line="8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trHeight w:val="60"/>
          <w:jc w:val="center"/>
        </w:trPr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spacing w:line="7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spacing w:line="7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Florestamento, reflorestamento, semeadura, adubação, reparação de solo, plantio, silagem, colheita, corte e descascamento de árvores, silvicultura, exploração florestal e dos serviços congêneres indissociáveis da formação, manutenção e colheita de florestas, para quaisquer fins e por quaisquer meios.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1D2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trHeight w:val="240"/>
          <w:jc w:val="center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7.17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trHeight w:val="240"/>
          <w:jc w:val="center"/>
        </w:trPr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77E" w:rsidRPr="00B35406" w:rsidRDefault="001D277E" w:rsidP="00BD50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277E" w:rsidRPr="00B35406" w:rsidRDefault="001D277E" w:rsidP="00BD50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7.18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7.19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7.20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7.21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7.22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11.01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Vigilância, segurança ou monitoramento de bens, pessoas e semoventes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11.03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11.04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13.01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13.02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13.03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13.05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Composição gráfica, inclusive confecção de impressos gráficos, fotocomposição, clicheria, zincografia, litografia e fotolitografia, exceto se destinados a posterior operação de comercialização ou industrialização, ainda que incorporados, de qualquer forma, a outra mercadoria que deva ser objeto de posterior circulação, tais como bulas, rótulos, etiquetas, caixas, cartuchos, embalagens e manuais técnicos e de instrução, quando ficarão sujeitos ao ICMS.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14.02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14.03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14.05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Restauração, recondicionamento, </w:t>
            </w: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acondicionamento, pintura, beneficiamento, lavagem, secagem, tingimento, galvanoplastia,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anodização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, corte, recorte,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plastificação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, costura, acabamento, polimento e congêneres de objetos quaisquer.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lastRenderedPageBreak/>
              <w:t>14.06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14.07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14.08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14.09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14.10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14.12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14.13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14.14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Guincho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intramunicipal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, guindaste e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içamento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16.01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Serviços de transporte coletivo municipal rodoviário, metroviário, ferroviário e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aquaviário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 de passageiros.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item7"/>
            <w:bookmarkEnd w:id="1"/>
            <w:r w:rsidRPr="00B35406">
              <w:rPr>
                <w:rFonts w:ascii="Arial" w:hAnsi="Arial" w:cs="Arial"/>
                <w:sz w:val="24"/>
                <w:szCs w:val="24"/>
              </w:rPr>
              <w:t>16.02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Outros serviços de transporte de natureza municipal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17.08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17.09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17.10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lastRenderedPageBreak/>
              <w:t>17.11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17.18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17.19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17.20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17.21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17.22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17.23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17.24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17.25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Inserção de textos, desenhos e outros materiais de propaganda e publicidade, em qualquer meio (exceto em livros, jornais, periódicos e nas modalidades de serviços de radiodifusão sonora e de sons e imagens de recepção livre e gratuita).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25.01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25.02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Translado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intramunicipal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 e cremação de corpos e partes de corpos cadavéricos.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cantSplit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25.03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25.04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7E" w:rsidRPr="00B35406" w:rsidTr="00B35406">
        <w:trPr>
          <w:gridAfter w:val="1"/>
          <w:wAfter w:w="204" w:type="dxa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25.05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277E" w:rsidRPr="00B35406" w:rsidRDefault="001D277E" w:rsidP="00BD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Translado </w:t>
            </w:r>
            <w:proofErr w:type="spellStart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>intramunicipal</w:t>
            </w:r>
            <w:proofErr w:type="spellEnd"/>
            <w:r w:rsidRPr="00B35406">
              <w:rPr>
                <w:rFonts w:ascii="Arial" w:hAnsi="Arial" w:cs="Arial"/>
                <w:color w:val="000000"/>
                <w:sz w:val="24"/>
                <w:szCs w:val="24"/>
              </w:rPr>
              <w:t xml:space="preserve"> e cremação de corpos e partes de corpos cadavéricos.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4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277E" w:rsidRPr="00B35406" w:rsidRDefault="001D277E" w:rsidP="00BD5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7532" w:rsidRP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7532" w:rsidRP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D277E" w:rsidRPr="001D277E" w:rsidRDefault="00B47532" w:rsidP="001D27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277E" w:rsidRPr="001D277E">
        <w:rPr>
          <w:rFonts w:ascii="Arial" w:hAnsi="Arial" w:cs="Arial"/>
          <w:sz w:val="24"/>
          <w:szCs w:val="24"/>
        </w:rPr>
        <w:t>Art. 2º Ficam revogados:</w:t>
      </w:r>
    </w:p>
    <w:p w:rsidR="001D277E" w:rsidRPr="001D277E" w:rsidRDefault="001D277E" w:rsidP="001D27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277E">
        <w:rPr>
          <w:rFonts w:ascii="Arial" w:hAnsi="Arial" w:cs="Arial"/>
          <w:sz w:val="24"/>
          <w:szCs w:val="24"/>
        </w:rPr>
        <w:t>I - o parágrafo único do artigo 291 da Lei Complementar nº 17, de 1º de dezembro de 1.997;</w:t>
      </w:r>
    </w:p>
    <w:p w:rsidR="001D277E" w:rsidRPr="001D277E" w:rsidRDefault="001D277E" w:rsidP="001D27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277E">
        <w:rPr>
          <w:rFonts w:ascii="Arial" w:hAnsi="Arial" w:cs="Arial"/>
          <w:sz w:val="24"/>
          <w:szCs w:val="24"/>
        </w:rPr>
        <w:t>II – a Lei Municipal nº 3.194, de 29 de maio de 1.985;</w:t>
      </w:r>
    </w:p>
    <w:p w:rsidR="001D277E" w:rsidRPr="001D277E" w:rsidRDefault="001D277E" w:rsidP="001D27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277E">
        <w:rPr>
          <w:rFonts w:ascii="Arial" w:hAnsi="Arial" w:cs="Arial"/>
          <w:sz w:val="24"/>
          <w:szCs w:val="24"/>
        </w:rPr>
        <w:t>III – o artigo 16 da Lei Complementar Municipal nº 48, de 21 de dezembro de 2.001;</w:t>
      </w:r>
    </w:p>
    <w:p w:rsidR="001D277E" w:rsidRPr="001D277E" w:rsidRDefault="001D277E" w:rsidP="001D27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277E">
        <w:rPr>
          <w:rFonts w:ascii="Arial" w:hAnsi="Arial" w:cs="Arial"/>
          <w:sz w:val="24"/>
          <w:szCs w:val="24"/>
        </w:rPr>
        <w:t>IV – o inciso II do § 1º do artigo 3º da Lei Municipal nº 5.119, de 14 de dezembro de 1.998.</w:t>
      </w:r>
    </w:p>
    <w:p w:rsid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7532" w:rsidRPr="00B47532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7532">
        <w:rPr>
          <w:rFonts w:ascii="Arial" w:hAnsi="Arial" w:cs="Arial"/>
          <w:sz w:val="24"/>
          <w:szCs w:val="24"/>
        </w:rPr>
        <w:t>Art. 3º Esta Lei Complementar entra em vigor na data da sua publicação.</w:t>
      </w:r>
    </w:p>
    <w:p w:rsidR="00B47532" w:rsidRPr="00CC2294" w:rsidRDefault="00B47532" w:rsidP="00B475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401ED0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C665C3" w:rsidRDefault="00844E26" w:rsidP="00844E26">
      <w:pPr>
        <w:rPr>
          <w:rFonts w:ascii="Arial" w:hAnsi="Arial" w:cs="Arial"/>
          <w:b/>
          <w:bCs/>
          <w:sz w:val="24"/>
          <w:szCs w:val="24"/>
        </w:rPr>
      </w:pPr>
    </w:p>
    <w:p w:rsidR="00C110DC" w:rsidRPr="00533B60" w:rsidRDefault="00C110DC" w:rsidP="00844E26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sectPr w:rsidR="00C110DC" w:rsidRPr="00533B60" w:rsidSect="00CC2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406">
          <w:rPr>
            <w:noProof/>
          </w:rPr>
          <w:t>7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1D277E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53A7"/>
    <w:rsid w:val="008D3A37"/>
    <w:rsid w:val="00970EA1"/>
    <w:rsid w:val="009B6D3F"/>
    <w:rsid w:val="009E0C3A"/>
    <w:rsid w:val="00A00141"/>
    <w:rsid w:val="00A21A11"/>
    <w:rsid w:val="00AB6A5E"/>
    <w:rsid w:val="00AC05F2"/>
    <w:rsid w:val="00AE69B6"/>
    <w:rsid w:val="00B35406"/>
    <w:rsid w:val="00B47532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character" w:styleId="Hyperlink">
    <w:name w:val="Hyperlink"/>
    <w:uiPriority w:val="99"/>
    <w:rsid w:val="001D277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D27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1-2014/2011/Lei/L12485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702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100</cp:revision>
  <cp:lastPrinted>1998-11-10T17:41:00Z</cp:lastPrinted>
  <dcterms:created xsi:type="dcterms:W3CDTF">2017-03-28T14:59:00Z</dcterms:created>
  <dcterms:modified xsi:type="dcterms:W3CDTF">2017-08-11T13:29:00Z</dcterms:modified>
</cp:coreProperties>
</file>