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F50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C4CA3">
        <w:rPr>
          <w:rFonts w:ascii="Tahoma" w:hAnsi="Tahoma" w:cs="Tahoma"/>
          <w:b/>
          <w:sz w:val="32"/>
          <w:szCs w:val="32"/>
          <w:u w:val="single"/>
        </w:rPr>
        <w:t>176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4CA3">
        <w:rPr>
          <w:rFonts w:ascii="Tahoma" w:hAnsi="Tahoma" w:cs="Tahoma"/>
          <w:b/>
          <w:sz w:val="32"/>
          <w:szCs w:val="32"/>
          <w:u w:val="single"/>
        </w:rPr>
        <w:t>155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0C4CA3" w:rsidRPr="000C4CA3" w:rsidRDefault="000C4CA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F50B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F50BB">
        <w:rPr>
          <w:rFonts w:ascii="Calibri" w:hAnsi="Calibri" w:cs="Calibri"/>
          <w:sz w:val="22"/>
          <w:szCs w:val="22"/>
        </w:rPr>
        <w:t xml:space="preserve">Denomina Rua Valter </w:t>
      </w:r>
      <w:proofErr w:type="spellStart"/>
      <w:r w:rsidRPr="005F50BB">
        <w:rPr>
          <w:rFonts w:ascii="Calibri" w:hAnsi="Calibri" w:cs="Calibri"/>
          <w:sz w:val="22"/>
          <w:szCs w:val="22"/>
        </w:rPr>
        <w:t>Pradella</w:t>
      </w:r>
      <w:proofErr w:type="spellEnd"/>
      <w:r w:rsidRPr="005F50BB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F50BB" w:rsidRPr="005F50BB" w:rsidRDefault="005F50BB" w:rsidP="005F50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5F50B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50BB">
        <w:rPr>
          <w:rFonts w:ascii="Calibri" w:hAnsi="Calibri" w:cs="Calibri"/>
          <w:sz w:val="24"/>
          <w:szCs w:val="24"/>
        </w:rPr>
        <w:t xml:space="preserve">Art. 1º Passam a denominar-se Rua Valter </w:t>
      </w:r>
      <w:proofErr w:type="spellStart"/>
      <w:r w:rsidRPr="005F50BB">
        <w:rPr>
          <w:rFonts w:ascii="Calibri" w:hAnsi="Calibri" w:cs="Calibri"/>
          <w:sz w:val="24"/>
          <w:szCs w:val="24"/>
        </w:rPr>
        <w:t>Pradella</w:t>
      </w:r>
      <w:proofErr w:type="spellEnd"/>
      <w:r w:rsidRPr="005F50BB">
        <w:rPr>
          <w:rFonts w:ascii="Calibri" w:hAnsi="Calibri" w:cs="Calibri"/>
          <w:sz w:val="24"/>
          <w:szCs w:val="24"/>
        </w:rPr>
        <w:t xml:space="preserve"> as vias públicas da sede do Município conhecidas como Rua 02 e Rua 09, ambas do loteamento denominado Atlanta e com início na Quadra A – Lote 01 e término no Sistema de Lazer 03, do mesmo loteamento. </w:t>
      </w:r>
    </w:p>
    <w:p w:rsidR="005F50BB" w:rsidRPr="005F50BB" w:rsidRDefault="005F50BB" w:rsidP="005F50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F50BB" w:rsidP="005F50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5F50B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5F50BB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D81C13">
        <w:rPr>
          <w:rFonts w:ascii="Calibri" w:hAnsi="Calibri" w:cs="Calibri"/>
          <w:sz w:val="24"/>
          <w:szCs w:val="24"/>
        </w:rPr>
        <w:t>2</w:t>
      </w:r>
      <w:r w:rsidR="000C4CA3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C7B9C">
        <w:rPr>
          <w:rFonts w:ascii="Calibri" w:hAnsi="Calibri" w:cs="Calibri"/>
          <w:sz w:val="24"/>
          <w:szCs w:val="24"/>
        </w:rPr>
        <w:t>do</w:t>
      </w:r>
      <w:r w:rsidR="00D81C13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F50B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F50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F50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4CA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50BB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76</cp:revision>
  <cp:lastPrinted>2017-04-25T15:43:00Z</cp:lastPrinted>
  <dcterms:created xsi:type="dcterms:W3CDTF">2016-08-16T19:55:00Z</dcterms:created>
  <dcterms:modified xsi:type="dcterms:W3CDTF">2017-08-01T14:47:00Z</dcterms:modified>
</cp:coreProperties>
</file>