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B2E0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B2E0F">
        <w:rPr>
          <w:rFonts w:ascii="Tahoma" w:hAnsi="Tahoma" w:cs="Tahoma"/>
          <w:b/>
          <w:sz w:val="32"/>
          <w:szCs w:val="32"/>
          <w:u w:val="single"/>
        </w:rPr>
        <w:t>172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2E0F">
        <w:rPr>
          <w:rFonts w:ascii="Tahoma" w:hAnsi="Tahoma" w:cs="Tahoma"/>
          <w:b/>
          <w:sz w:val="32"/>
          <w:szCs w:val="32"/>
          <w:u w:val="single"/>
        </w:rPr>
        <w:t>211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9B2E0F" w:rsidRDefault="005A56CA" w:rsidP="00D47EAB">
      <w:pPr>
        <w:jc w:val="both"/>
        <w:rPr>
          <w:rFonts w:ascii="Calibri" w:hAnsi="Calibri" w:cs="Calibri"/>
        </w:rPr>
      </w:pPr>
    </w:p>
    <w:p w:rsidR="005A56CA" w:rsidRPr="009B2E0F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9B2E0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B2E0F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Pr="009B2E0F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9B2E0F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2E0F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R$ 66.600,00 (sessenta e seis mil e seiscentos reais), referente ao Termo de Adesão à campanha “Todos juntos contra o Aedes Aegypti” junto a SUCEN conforme demonstrativo abaixo:</w:t>
      </w:r>
    </w:p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9B2E0F" w:rsidRPr="009B2E0F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2E0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2E0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B2E0F" w:rsidRPr="009B2E0F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2E0F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2E0F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B2E0F" w:rsidRPr="009B2E0F" w:rsidTr="00AD0D7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2E0F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2E0F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B2E0F" w:rsidRPr="009B2E0F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2E0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B2E0F" w:rsidRPr="009B2E0F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B2E0F" w:rsidRPr="009B2E0F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2E0F" w:rsidRPr="009B2E0F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2E0F" w:rsidRPr="009B2E0F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B2E0F" w:rsidRPr="009B2E0F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66.600,00</w:t>
            </w:r>
          </w:p>
        </w:tc>
      </w:tr>
      <w:tr w:rsidR="009B2E0F" w:rsidRPr="009B2E0F" w:rsidTr="00AD0D7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2E0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2E0F" w:rsidRPr="009B2E0F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66.600,00</w:t>
            </w:r>
          </w:p>
        </w:tc>
      </w:tr>
      <w:tr w:rsidR="009B2E0F" w:rsidRPr="009B2E0F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F" w:rsidRPr="009B2E0F" w:rsidRDefault="009B2E0F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2E0F">
              <w:rPr>
                <w:rFonts w:ascii="Calibri" w:hAnsi="Calibri"/>
                <w:sz w:val="24"/>
                <w:szCs w:val="24"/>
              </w:rPr>
              <w:t>02 – Transferências de convênios Estaduais - Vinculados</w:t>
            </w:r>
          </w:p>
        </w:tc>
      </w:tr>
    </w:tbl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2E0F">
        <w:rPr>
          <w:rFonts w:ascii="Calibri" w:hAnsi="Calibri" w:cs="Calibri"/>
          <w:sz w:val="24"/>
          <w:szCs w:val="24"/>
        </w:rPr>
        <w:t>Art. 2º O crédito autorizado no artigo anterior será coberto com os recursos de excesso de arrecadação, apurado no presente exercício, de recursos vinculados a saúde, transferidos do Estado através da resolução SS-9, que tem por objetivo combate ao Aedes Aegypti.</w:t>
      </w:r>
    </w:p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2E0F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2E0F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9B2E0F" w:rsidRPr="009B2E0F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9B2E0F" w:rsidP="009B2E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2E0F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9B2E0F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81C13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D81C13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B2E0F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9B2E0F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2E0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2E0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B2E0F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74</cp:revision>
  <cp:lastPrinted>2017-04-25T15:43:00Z</cp:lastPrinted>
  <dcterms:created xsi:type="dcterms:W3CDTF">2016-08-16T19:55:00Z</dcterms:created>
  <dcterms:modified xsi:type="dcterms:W3CDTF">2017-07-25T18:59:00Z</dcterms:modified>
</cp:coreProperties>
</file>