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Pr="00510AB1" w:rsidRDefault="00734355" w:rsidP="00EF7583">
      <w:pPr>
        <w:tabs>
          <w:tab w:val="left" w:pos="709"/>
          <w:tab w:val="left" w:pos="1418"/>
        </w:tabs>
        <w:ind w:right="51"/>
        <w:jc w:val="both"/>
        <w:rPr>
          <w:rFonts w:asciiTheme="minorHAnsi" w:hAnsiTheme="minorHAnsi" w:cs="Arial"/>
          <w:sz w:val="24"/>
          <w:szCs w:val="24"/>
        </w:rPr>
      </w:pPr>
      <w:r w:rsidRPr="00510AB1">
        <w:rPr>
          <w:rFonts w:asciiTheme="minorHAnsi" w:hAnsiTheme="minorHAnsi" w:cs="Arial"/>
          <w:b/>
          <w:bCs/>
          <w:sz w:val="24"/>
          <w:szCs w:val="24"/>
        </w:rPr>
        <w:tab/>
      </w:r>
      <w:r w:rsidR="00EF7583" w:rsidRPr="00510AB1">
        <w:rPr>
          <w:rFonts w:asciiTheme="minorHAnsi" w:hAnsiTheme="minorHAnsi" w:cs="Arial"/>
          <w:b/>
          <w:bCs/>
          <w:sz w:val="24"/>
          <w:szCs w:val="24"/>
        </w:rPr>
        <w:tab/>
      </w:r>
      <w:r w:rsidR="00EF7583" w:rsidRPr="00510AB1">
        <w:rPr>
          <w:rFonts w:asciiTheme="minorHAnsi" w:hAnsiTheme="minorHAnsi" w:cs="Arial"/>
          <w:bCs/>
          <w:sz w:val="24"/>
          <w:szCs w:val="24"/>
        </w:rPr>
        <w:t>A</w:t>
      </w:r>
      <w:r w:rsidRPr="00510AB1">
        <w:rPr>
          <w:rFonts w:asciiTheme="minorHAnsi" w:hAnsiTheme="minorHAnsi" w:cs="Arial"/>
          <w:sz w:val="24"/>
          <w:szCs w:val="24"/>
        </w:rPr>
        <w:t xml:space="preserve"> Comissão</w:t>
      </w:r>
      <w:r w:rsidR="00EF7583" w:rsidRPr="00510AB1">
        <w:rPr>
          <w:rFonts w:asciiTheme="minorHAnsi" w:hAnsiTheme="minorHAnsi" w:cs="Arial"/>
          <w:sz w:val="24"/>
          <w:szCs w:val="24"/>
        </w:rPr>
        <w:t xml:space="preserve"> de Justiça, Legislação e Redação</w:t>
      </w:r>
      <w:r w:rsidRPr="00510AB1">
        <w:rPr>
          <w:rFonts w:asciiTheme="minorHAnsi" w:hAnsiTheme="minorHAnsi" w:cs="Arial"/>
          <w:sz w:val="24"/>
          <w:szCs w:val="24"/>
        </w:rPr>
        <w:t xml:space="preserve">, de conformidade com o que deliberou o </w:t>
      </w:r>
      <w:r w:rsidR="001D7EE6" w:rsidRPr="00510AB1">
        <w:rPr>
          <w:rFonts w:asciiTheme="minorHAnsi" w:hAnsiTheme="minorHAnsi" w:cs="Arial"/>
          <w:sz w:val="24"/>
          <w:szCs w:val="24"/>
        </w:rPr>
        <w:t>P</w:t>
      </w:r>
      <w:r w:rsidRPr="00510AB1">
        <w:rPr>
          <w:rFonts w:asciiTheme="minorHAnsi" w:hAnsiTheme="minorHAnsi" w:cs="Arial"/>
          <w:sz w:val="24"/>
          <w:szCs w:val="24"/>
        </w:rPr>
        <w:t xml:space="preserve">lenário em sessão </w:t>
      </w:r>
      <w:r w:rsidR="001D7EE6" w:rsidRPr="00510AB1">
        <w:rPr>
          <w:rFonts w:asciiTheme="minorHAnsi" w:hAnsiTheme="minorHAnsi" w:cs="Arial"/>
          <w:sz w:val="24"/>
          <w:szCs w:val="24"/>
        </w:rPr>
        <w:t>extra</w:t>
      </w:r>
      <w:r w:rsidRPr="00510AB1">
        <w:rPr>
          <w:rFonts w:asciiTheme="minorHAnsi" w:hAnsiTheme="minorHAnsi" w:cs="Arial"/>
          <w:sz w:val="24"/>
          <w:szCs w:val="24"/>
        </w:rPr>
        <w:t xml:space="preserve">ordinária de </w:t>
      </w:r>
      <w:r w:rsidR="001D7EE6" w:rsidRPr="00510AB1">
        <w:rPr>
          <w:rFonts w:asciiTheme="minorHAnsi" w:hAnsiTheme="minorHAnsi" w:cs="Arial"/>
          <w:sz w:val="24"/>
          <w:szCs w:val="24"/>
        </w:rPr>
        <w:t>13</w:t>
      </w:r>
      <w:r w:rsidRPr="00510AB1">
        <w:rPr>
          <w:rFonts w:asciiTheme="minorHAnsi" w:hAnsiTheme="minorHAnsi" w:cs="Arial"/>
          <w:sz w:val="24"/>
          <w:szCs w:val="24"/>
        </w:rPr>
        <w:t xml:space="preserve"> de </w:t>
      </w:r>
      <w:r w:rsidR="001D7EE6" w:rsidRPr="00510AB1">
        <w:rPr>
          <w:rFonts w:asciiTheme="minorHAnsi" w:hAnsiTheme="minorHAnsi" w:cs="Arial"/>
          <w:sz w:val="24"/>
          <w:szCs w:val="24"/>
        </w:rPr>
        <w:t xml:space="preserve">junho </w:t>
      </w:r>
      <w:r w:rsidRPr="00510AB1">
        <w:rPr>
          <w:rFonts w:asciiTheme="minorHAnsi" w:hAnsiTheme="minorHAnsi" w:cs="Arial"/>
          <w:sz w:val="24"/>
          <w:szCs w:val="24"/>
        </w:rPr>
        <w:t>de 20</w:t>
      </w:r>
      <w:r w:rsidR="008021DA" w:rsidRPr="00510AB1">
        <w:rPr>
          <w:rFonts w:asciiTheme="minorHAnsi" w:hAnsiTheme="minorHAnsi" w:cs="Arial"/>
          <w:sz w:val="24"/>
          <w:szCs w:val="24"/>
        </w:rPr>
        <w:t>1</w:t>
      </w:r>
      <w:r w:rsidR="00E85196" w:rsidRPr="00510AB1">
        <w:rPr>
          <w:rFonts w:asciiTheme="minorHAnsi" w:hAnsiTheme="minorHAnsi" w:cs="Arial"/>
          <w:sz w:val="24"/>
          <w:szCs w:val="24"/>
        </w:rPr>
        <w:t>7</w:t>
      </w:r>
      <w:r w:rsidRPr="00510AB1">
        <w:rPr>
          <w:rFonts w:asciiTheme="minorHAnsi" w:hAnsiTheme="minorHAnsi" w:cs="Arial"/>
          <w:sz w:val="24"/>
          <w:szCs w:val="24"/>
        </w:rPr>
        <w:t xml:space="preserve">, </w:t>
      </w:r>
      <w:r w:rsidR="00CE7817" w:rsidRPr="00510AB1">
        <w:rPr>
          <w:rFonts w:asciiTheme="minorHAnsi" w:hAnsiTheme="minorHAnsi" w:cs="Arial"/>
          <w:sz w:val="24"/>
          <w:szCs w:val="24"/>
        </w:rPr>
        <w:t xml:space="preserve">aprovando o Projeto de Lei nº </w:t>
      </w:r>
      <w:r w:rsidR="001D7EE6" w:rsidRPr="00510AB1">
        <w:rPr>
          <w:rFonts w:asciiTheme="minorHAnsi" w:hAnsiTheme="minorHAnsi" w:cs="Arial"/>
          <w:sz w:val="24"/>
          <w:szCs w:val="24"/>
        </w:rPr>
        <w:t>117</w:t>
      </w:r>
      <w:r w:rsidR="00CE7817" w:rsidRPr="00510AB1">
        <w:rPr>
          <w:rFonts w:asciiTheme="minorHAnsi" w:hAnsiTheme="minorHAnsi" w:cs="Arial"/>
          <w:sz w:val="24"/>
          <w:szCs w:val="24"/>
        </w:rPr>
        <w:t xml:space="preserve">/17 e </w:t>
      </w:r>
      <w:r w:rsidR="001D7EE6" w:rsidRPr="00510AB1">
        <w:rPr>
          <w:rFonts w:asciiTheme="minorHAnsi" w:hAnsiTheme="minorHAnsi" w:cs="Arial"/>
          <w:sz w:val="24"/>
          <w:szCs w:val="24"/>
        </w:rPr>
        <w:t>sua</w:t>
      </w:r>
      <w:r w:rsidR="00CE7817" w:rsidRPr="00510AB1">
        <w:rPr>
          <w:rFonts w:asciiTheme="minorHAnsi" w:hAnsiTheme="minorHAnsi" w:cs="Arial"/>
          <w:sz w:val="24"/>
          <w:szCs w:val="24"/>
        </w:rPr>
        <w:t xml:space="preserve"> correspondente emenda, apresenta</w:t>
      </w:r>
      <w:r w:rsidR="00EF7583" w:rsidRPr="00510AB1">
        <w:rPr>
          <w:rFonts w:asciiTheme="minorHAnsi" w:hAnsiTheme="minorHAnsi" w:cs="Arial"/>
          <w:sz w:val="24"/>
          <w:szCs w:val="24"/>
        </w:rPr>
        <w:t xml:space="preserve"> a inclusa</w:t>
      </w:r>
    </w:p>
    <w:p w:rsidR="00EF7583" w:rsidRPr="00510AB1" w:rsidRDefault="00EF7583" w:rsidP="00EF7583">
      <w:pPr>
        <w:tabs>
          <w:tab w:val="left" w:pos="709"/>
          <w:tab w:val="left" w:pos="1418"/>
        </w:tabs>
        <w:ind w:right="51"/>
        <w:jc w:val="both"/>
        <w:rPr>
          <w:rFonts w:asciiTheme="minorHAnsi" w:hAnsiTheme="minorHAnsi" w:cs="Arial"/>
          <w:sz w:val="24"/>
          <w:szCs w:val="24"/>
        </w:rPr>
      </w:pPr>
    </w:p>
    <w:p w:rsidR="00EF7583" w:rsidRPr="00510AB1" w:rsidRDefault="00EF7583" w:rsidP="00EF7583">
      <w:pPr>
        <w:tabs>
          <w:tab w:val="left" w:pos="709"/>
          <w:tab w:val="left" w:pos="1418"/>
        </w:tabs>
        <w:ind w:right="51"/>
        <w:jc w:val="both"/>
        <w:rPr>
          <w:rFonts w:asciiTheme="minorHAnsi" w:hAnsiTheme="minorHAnsi" w:cs="Arial"/>
          <w:sz w:val="24"/>
          <w:szCs w:val="24"/>
        </w:rPr>
      </w:pPr>
    </w:p>
    <w:p w:rsidR="00734355" w:rsidRPr="00510AB1" w:rsidRDefault="00EF7583" w:rsidP="00CC2294">
      <w:pPr>
        <w:ind w:right="-91"/>
        <w:jc w:val="center"/>
        <w:rPr>
          <w:rFonts w:asciiTheme="minorHAnsi" w:hAnsiTheme="minorHAnsi" w:cs="Arial"/>
          <w:b/>
          <w:bCs/>
          <w:sz w:val="24"/>
          <w:szCs w:val="24"/>
        </w:rPr>
      </w:pPr>
      <w:r w:rsidRPr="00510AB1">
        <w:rPr>
          <w:rFonts w:asciiTheme="minorHAnsi" w:hAnsiTheme="minorHAnsi" w:cs="Arial"/>
          <w:b/>
          <w:bCs/>
          <w:sz w:val="32"/>
          <w:szCs w:val="32"/>
        </w:rPr>
        <w:t xml:space="preserve">NOVA REDAÇÃO AO </w:t>
      </w:r>
      <w:r w:rsidR="00CC2294" w:rsidRPr="00510AB1">
        <w:rPr>
          <w:rFonts w:asciiTheme="minorHAnsi" w:hAnsiTheme="minorHAnsi" w:cs="Arial"/>
          <w:b/>
          <w:bCs/>
          <w:sz w:val="32"/>
          <w:szCs w:val="32"/>
        </w:rPr>
        <w:t xml:space="preserve">PROJETO DE LEI Nº </w:t>
      </w:r>
      <w:r w:rsidR="001D7EE6" w:rsidRPr="00510AB1">
        <w:rPr>
          <w:rFonts w:asciiTheme="minorHAnsi" w:hAnsiTheme="minorHAnsi" w:cs="Arial"/>
          <w:b/>
          <w:bCs/>
          <w:sz w:val="32"/>
          <w:szCs w:val="32"/>
        </w:rPr>
        <w:t>117</w:t>
      </w:r>
      <w:r w:rsidR="00CC2294" w:rsidRPr="00510AB1">
        <w:rPr>
          <w:rFonts w:asciiTheme="minorHAnsi" w:hAnsiTheme="minorHAnsi" w:cs="Arial"/>
          <w:b/>
          <w:bCs/>
          <w:sz w:val="32"/>
          <w:szCs w:val="32"/>
        </w:rPr>
        <w:t>/17</w:t>
      </w:r>
    </w:p>
    <w:p w:rsidR="00CC2294" w:rsidRPr="00510AB1" w:rsidRDefault="00CC2294" w:rsidP="00CC2294">
      <w:pPr>
        <w:jc w:val="both"/>
        <w:rPr>
          <w:rFonts w:asciiTheme="minorHAnsi" w:hAnsiTheme="minorHAnsi" w:cs="Arial"/>
          <w:sz w:val="24"/>
          <w:szCs w:val="24"/>
        </w:rPr>
      </w:pPr>
    </w:p>
    <w:p w:rsidR="00CC2294" w:rsidRPr="00510AB1" w:rsidRDefault="00CC2294" w:rsidP="00CC2294">
      <w:pPr>
        <w:jc w:val="both"/>
        <w:rPr>
          <w:rFonts w:asciiTheme="minorHAnsi" w:hAnsiTheme="minorHAnsi" w:cs="Arial"/>
          <w:sz w:val="24"/>
          <w:szCs w:val="24"/>
        </w:rPr>
      </w:pPr>
    </w:p>
    <w:p w:rsidR="00CC2294" w:rsidRPr="00510AB1" w:rsidRDefault="001D7EE6" w:rsidP="00CC2294">
      <w:pPr>
        <w:ind w:left="4536"/>
        <w:jc w:val="both"/>
        <w:rPr>
          <w:rFonts w:asciiTheme="minorHAnsi" w:hAnsiTheme="minorHAnsi" w:cs="Arial"/>
          <w:sz w:val="22"/>
          <w:szCs w:val="22"/>
        </w:rPr>
      </w:pPr>
      <w:r w:rsidRPr="00510AB1">
        <w:rPr>
          <w:rFonts w:asciiTheme="minorHAnsi" w:hAnsiTheme="minorHAnsi" w:cs="Arial"/>
          <w:sz w:val="22"/>
          <w:szCs w:val="22"/>
        </w:rPr>
        <w:t>Dispõe sobre as Diretrizes Orçamentárias para a elaboração da Lei Orçamentária do exercício de 2018 e dá outras providências.</w:t>
      </w:r>
    </w:p>
    <w:p w:rsidR="00CC2294" w:rsidRPr="00510AB1" w:rsidRDefault="00CC2294" w:rsidP="00CC2294">
      <w:pPr>
        <w:tabs>
          <w:tab w:val="left" w:pos="709"/>
          <w:tab w:val="left" w:pos="1418"/>
          <w:tab w:val="left" w:pos="2127"/>
          <w:tab w:val="left" w:pos="2835"/>
        </w:tabs>
        <w:jc w:val="both"/>
        <w:rPr>
          <w:rFonts w:asciiTheme="minorHAnsi" w:hAnsiTheme="minorHAnsi" w:cs="Arial"/>
          <w:sz w:val="24"/>
          <w:szCs w:val="24"/>
        </w:rPr>
      </w:pPr>
    </w:p>
    <w:p w:rsidR="00CC2294" w:rsidRPr="00510AB1" w:rsidRDefault="00CC2294" w:rsidP="00CC2294">
      <w:pPr>
        <w:tabs>
          <w:tab w:val="left" w:pos="709"/>
          <w:tab w:val="left" w:pos="1418"/>
          <w:tab w:val="left" w:pos="2127"/>
          <w:tab w:val="left" w:pos="2835"/>
        </w:tabs>
        <w:jc w:val="both"/>
        <w:rPr>
          <w:rFonts w:asciiTheme="minorHAnsi" w:hAnsiTheme="minorHAnsi" w:cs="Arial"/>
          <w:sz w:val="24"/>
          <w:szCs w:val="24"/>
        </w:rPr>
      </w:pP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1º  Nos termos da Constituição Federal, art. 165, § 2º, da Lei n° 4.320/64 e da Lei Orgânica do Município, esta Lei fixa as diretrizes orçamentárias do Município para o exercício de 2018, orienta a elaboração da respectiva Lei Orçamentária Anual, estabelece as normas e disposições de controle da execução orçamentária, bem como dispõe sobre as alterações na legislação tributária e atende às determinações impostas pela Lei Federal Complementar nº 101, de 4 de maio de 2000 e Portarias da Secretaria do Tesouro Nacional.</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2º As diretrizes orçamentárias, para elaboração da proposta orçamentária abrangerá os Poderes Legislativo, Executivo e as entidades da Administração Direta e Indireta, observando-se os seguintes eixos estratégicos:</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 – gestão pública democrática, participação popular, transparência e controle social;</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II – desenvolvimento e sustentabilidade;</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III – qualidade de vida e efetivação de direitos sociais. </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3 O Projeto de Lei Orçamentária Anual, relativo ao exercício de 2018, deve assegurar os princípios de justiça social, justiça tributária, de controle social e de transparência na elaboração e execução do orçamento, assim considerados:</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 – o </w:t>
      </w:r>
      <w:r w:rsidR="00580C2A" w:rsidRPr="00510AB1">
        <w:rPr>
          <w:rFonts w:asciiTheme="minorHAnsi" w:hAnsiTheme="minorHAnsi" w:cs="Arial"/>
          <w:sz w:val="24"/>
          <w:szCs w:val="24"/>
        </w:rPr>
        <w:t>princípio</w:t>
      </w:r>
      <w:r w:rsidRPr="00510AB1">
        <w:rPr>
          <w:rFonts w:asciiTheme="minorHAnsi" w:hAnsiTheme="minorHAnsi" w:cs="Arial"/>
          <w:sz w:val="24"/>
          <w:szCs w:val="24"/>
        </w:rPr>
        <w:t xml:space="preserve"> de controle social implica em assegurar a todo cidadão a participação na elaboração e no acompanhamento do orçamento e nas decisões sobre implementação e fiscalização de políticas e serviços públicos;</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7451AA">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lastRenderedPageBreak/>
        <w:t>Art. 4º Será assegurada aos cidadãos a participação no processo de elaboração, execução e fiscalização do orçamento, 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II</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DAS METAS E PRIORIDADES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5º As metas e prioridades da Administração Pública Municipal para o exercício de 2018 especificadas nos Anexos V- Descrição dos Programas Governamentais / Metas / Custos para o exercício e VI – Unidades Executoras e Ações voltadas ao desenvolvimento do Programa Governamental, excepcionalmente neste exercício serão encaminhadas juntamente com os anexos do Plano Plurianual 2018/2021. </w:t>
      </w:r>
    </w:p>
    <w:p w:rsidR="007451AA"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Tal exceção se faz necessária no primeiro ano de mandato, pois as especificações das prioridades e metas do governo devem ser pautadas em programas previstos no Plano Plurianual, cuja data para envio ao Legislativo é 15 de agosto.</w:t>
      </w:r>
    </w:p>
    <w:p w:rsidR="00580C2A" w:rsidRPr="00510AB1" w:rsidRDefault="00580C2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6º As metas de resultados fiscais do município para o exercício de 2018 são aquelas apresentadas no Demonstrativo de Metas Fiscais, integrante desta Lei, desdobrados em:</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Demonstrativo I - Metas anuais;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Demonstrativo II - Avaliação do cumprimento das metas fiscais do exercício  anterior;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Demonstrativo III - Metas fiscais atuais comparadas com as fixadas nos três exercícios anteriores;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Demonstrativo IV - Evolução do patrimônio líquido;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Demonstrativo V - Origem e aplicação dos recursos obtidos com a alienação de ativos;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Demonstrativo VI-A - Avaliação da Situação Financeira do RPPS;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Demonstrativo VII - Estimativa e compensação da renúncia de receita;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Demonstrativo VIII - Margem de expansão das despesas obrigatórias de caráter continuado.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Os demonstrativos I e III de que trata o "caput" são expressos em valores correntes e constantes. Caso ocorram mudanças no cenário macro-econômico do País, seus valores poderão ser alterados, conforme Decreto do Poder Executivo.</w:t>
      </w:r>
    </w:p>
    <w:p w:rsidR="00580C2A" w:rsidRDefault="00580C2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7º Integra esta Lei o anexo denominado Anexo de Riscos Fiscais, onde são avaliados os passivos contingentes e outros riscos capazes de afetar as contas públicas, com indicação das providências a serem tomadas pelo Poder Executivo caso venham a se concretizar.</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III</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DOS PRAZOS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lastRenderedPageBreak/>
        <w:t>Art. 8º O Poder Executivo enviará até 30 de setembro o Projeto de Lei Orçamentária à Câmara Municipal, que o apreciará até o final da sessão legislativa, devolvendo-o a seguir para sanção e demais providências.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1º A Mesa da Câmara Municipal elaborará sua proposta orçamentária para o exercício de 2018 e a remeterá ao Executivo até 30 (trinta) dias antes do prazo previsto para remessa do Projeto de Lei Orçamentária àquele poder.</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2º Os Órgãos da Administração Indireta enviarão suas propostas orçamentárias parciais para o exercício de 2018, baseada nesta lei e no Plano Plurianual 2018/2021, até o dia 20 de julho de 2017, à Secretaria Municipal de Planejamento e Participação Popular.</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9º Não sendo encaminhado o autógrafo do projeto de lei orçamentária anual até a data de início do exercício de 2018, fica o Poder Executivo autorizado a realizar a proposta orçamentária até a sua conversão em lei, no limite de 1/12 (um doze avos) em cada mês.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A limitação de 1/12 (um doze avos) em cada mês, a que se refere o “caput” deste artigo, não se aplica às despesas de que tratam as alíneas “a”, “b” e “c” do inciso II do  § 3º do artigo 166 da Constituição Federal.</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10 O Legislativo e as entidades da administração indireta integrantes do orçamento público deverão encaminhar mensalmente, para fins de consolidação das contas públicas, ao Poder Executivo, até o dia 05 do mês subsequente ao encerramento do mês, os relatórios demonstrativos das receitas e despesas, além de outros que se fizerem necessários para esse fim.</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Em caso de não observância ao disposto no "caput" por parte das entidades, as prestações de contas aos sistemas de controles externos exercidos pelo Tribunal de Contas do Estado e pelos Ministérios seguirão sem as informações das entidades e o fato será imediatamente comunicado ao Tribunal de Contas do Estado para providências.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IV</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 ELABORAÇÃO E EXECUÇÃO DA LEI ORÇAMENTÁRIA ANUAL</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11 As unidades orçamentárias, quando da elaboração de suas propostas orçamentárias parciais, deverão atender a estrutura orçamentária e as determinações emanadas pelos setores competentes da área.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12 A proposta orçamentária, que não conterá dispositivos estranho à previsão da receita e à fixação da despesa, atenderá a um processo de planejamento permanente, à descentralização, à participação popular, conterá ainda reserva de contingência e compreenderá o orçamento fiscal e da seguridade social referente aos Poderes Executivo e Legislativo Municipal, seus fundos, órgãos, autarquias, inclusive especiais,  fundações de direito público, bem como das fundações públicas de direito privado instituídas e mantidas pelo Poder Público Municipal, bem como das empresas públicas , sociedade de economia mista e demais entidades em que o ente, direta ou indiretamente, detenha a maioria do capital social com direito a voto e que dele recebam recursos do Tesouro Municipal para fins de custeio.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lastRenderedPageBreak/>
        <w:t xml:space="preserve">§ 1º </w:t>
      </w:r>
      <w:r w:rsidR="004F78B4" w:rsidRPr="00510AB1">
        <w:rPr>
          <w:rFonts w:asciiTheme="minorHAnsi" w:hAnsiTheme="minorHAnsi" w:cs="Arial"/>
          <w:sz w:val="24"/>
          <w:szCs w:val="24"/>
        </w:rPr>
        <w:t>A execução orçamentária e financeira das despesas realizadas de forma descentralizada observará</w:t>
      </w:r>
      <w:r w:rsidRPr="00510AB1">
        <w:rPr>
          <w:rFonts w:asciiTheme="minorHAnsi" w:hAnsiTheme="minorHAnsi" w:cs="Arial"/>
          <w:sz w:val="24"/>
          <w:szCs w:val="24"/>
        </w:rPr>
        <w:t xml:space="preserve"> as normas estabelecidas pela Secretaria do Tesouro Nacional.</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2º A criação, expansão ou aperfeiçoamento de ação governamental que acarrete aumento da despesa será acompanhado de estimativa do impacto orçamentário e financeiro, ressalvado as despesas consideradas irrelevantes, que não ultrapassem a 1% (um por cento) da Receita Corrente Líquida.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3º Não se aplicam às entidades integrantes do Orçamento de Investimento as normas gerais da Lei nº 4.320, de 1964, no que concerne a regime contábil, execução do orçamento e demonstrações contábeis.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13.  A discriminação da despesa, quanto à sua natureza, far-se-á no mínimo por categoria econômica, grupo de natureza de despesa, modalidade de aplicação e elemento de despesa, nos termos do art. 6º da Portaria Interministerial nº 163, de 04/05/2001 e orientações do Tribunal de Contas do Estado de São Paulo.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14.  A proposta orçamentária anual atenderá às diretrizes gerais e aos princípios de unidade, universalidade e anualidade, não podendo o montante das despesas fixadas excederem a previsão da receita para o exercício.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15.  As receitas e as despesas serão estimadas, tomando-se por base o índice de inflação apurado nos últimos 12 (doze) meses, a tendência e o comportamento da arrecadação municipal mês a mês.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1º Na estimativa das receitas deverão ser consideradas, ainda, as modificações da legislação tributária.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2º As taxas de poder de polícia deverão remunerar a atividade municipal de maneira a equilibrar as respectivas despesas.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16.  A proposta orçamentária que o Poder Executivo encaminhar ao Poder Legislativo compor-se-á de:</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 - mensagem;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 - projeto de lei orçamentária anual;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III - tabelas explicativas a que se refere o inciso III, do artigo 22, da Lei Federal nº 4.320 de 17 de março de 1964;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IV - sumário geral da receita por fontes e da despesa por funções de governo;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V - sumário geral da receita e despesa, por categorias econômicas;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VI - quadro das dotações por órgãos do governo e da administração;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VII – demonstrativo do cumprimento da legislação que dispõe sobre a aplicação de recursos resultantes de impostos na manutenção e desenvolvimento do Ensino;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VIII – demonstrativo do cumprimento da Emenda Constitucional nº 29/2000;</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IX - demonstrativos discriminando a totalidade das receitas e das despesas das Entidades das Administrações Direta e indireta.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lastRenderedPageBreak/>
        <w:t>Art. 17.  Caso os valores previstos nesta Lei se apresentem defasados na ocasião da elaboração da proposta orçamentária, poderão ser reajustados aos valores reais, compatibilizando a receita orçada com a despesa autorizada.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Fica o Poder Executivo autorizado a executar a compatibilização entre as peças de planejamento (PPA 2018/2021 e LDO 2018) caso ocorra o evidenciado no "caput" deste artigo.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18.  A lei orçamentária conterá Reserva de Contingência do Poder Executivo e demais órgãos da administração indireta, que será equivalente a no máximo 5% (cinco por cento) da receita corrente líquida prevista na proposta orçamentária de 2017, e será destinada 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 - cobertura de créditos adicionais;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II - atender passivos contingentes e outros riscos e eventos fiscais imprevistos.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19.  O planejamento orçamentário do Município será elaborado e acompanhado pela Secretaria Municipal de Planejamento e Participação Popular, com auxílio do Comitê Municipal de Execução Orçamentária e Financeira.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Entende-se por planejamento orçamentário os seguintes instrumentos de planejamento: PPA - Plano Plurianual, LDO - Lei de Diretrizes Orçamentárias e LOA - Lei Orçamentária Anual.</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V</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DAS ALTERAÇÕES NA LEGISLAÇÃO TRIBUTÁRIA</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20.  Visando ao aperfeiçoamento e atualização da legislação, o Poder Executivo poderá encaminhar à Câmara Municipal projetos de lei dispondo sobre alterações na legislação tributária, especialmente sobre:</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 - revisão e atualização do Código Tributário Municipal, de forma a corrigir distorções;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II - revogações das isenções tributárias que contrariem o interesse público e a justiça fiscal;</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III - revisão das taxas objetivando sua adequação aos custos efetivos dos serviços prestados e ao exercício do poder de polícia do Município;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IV - atualização da Planta Genérica de Valores ajustando-a aos movimentos de valorização do mercado imobiliário;</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V - aperfeiçoamento do sistema de fiscalização, cobrança, execução fiscal e arrecadação de tributos.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21. Os projetos de lei de concessão ou ampliação de incentivo ou benefício de natureza tributária, da qual decorra renúncia de receita deverão atender as disposições contidas no artigo 14 da Lei Federal Complementar nº 101, de 04 de maio de 2000.</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VI</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REPASSES AO TERCEIRO SETOR</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lastRenderedPageBreak/>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22. A destinação de recursos orçamentários às entidades privadas sem fins lucrativos deverá observar:</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I – lei especifica que expressamente defina a destinação de recursos às entidades beneficiadas, nos termos do disposto no artigo 26 da Lei Federal Complementar nº 101, de 04 de maio de 2000;</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 – os dispostos, no que couber da Lei Federal nº 13.019, de 31 de julho de 2014 e suas alterações, que institui normas gerais para as parcerias entre a Administração Pública e as organizações da sociedade civil.   </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VII</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 LIMITAÇÃO DAS DESPESAS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23.  Na forma do art. 13 da Lei Federal Complementar nº 101, de 04 de maio de 2000, até 30 (trinta) dias após a publicação da lei orçamentária, o Executivo estabelecerá as metas bimestrais para a realização das receitas, e o Cronograma de Desembolso mensal.</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Executivo e o Legislativo determinarão a limitação de empenho e movimentação financeira, em montantes necessários à preservação dos resultados estabelecidos.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3º Não se admitirá a limitação de empenho e movimentação financeira nas despesas vinculadas, caso a frustração na arrecadação não esteja ocorrendo nas respectivas receitas.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5º A limitação de empenho e movimentação financeira também será adotada na hipótese de ser necessária a redução de eventual excesso da dívida consolidada em relação à meta fixada no Anexo de Metas Fiscais, obedecendo-se ao que dispõe o art. 31 da Lei Federal Complementar nº 101, de 4 de maio de 2000.</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24. A limitação de empenho e movimentação financeira de que trata o artigo anterior poderá ser suspensa, no todo ou em parte, caso a situação de frustração de receitas se reverta nos bimestres seguintes.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CAPÍTULO VII</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DAS DISPOSIÇÕES RELATIVAS A DESPESAS COM PESSOAL</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lastRenderedPageBreak/>
        <w:t>Art. 25.  O aumento da despesa com pessoal, em decorrência de qualquer das medidas relacionadas no art. 169, § 1º da Constituição Federal, poderá ser realizado mediante lei específica, desde que obedecidos os limites previstos nos art. 20, 22, § único, da Lei Federal Complementar nº 101, de 4 de maio de 2000, e cumpridas às exigências previstas nos art. 16 e 17 do referido diploma legal, ficando autorizado o aumento da despesa com pessoal para: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 - concessão de qualquer vantagem ou aumento de remuneração, a criação de cargos, empregos e funções ou alteração de estruturas de carreiras; 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 - admissão de pessoal ou contratação a qualquer título.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1º Os aumentos de que trata este artigo somente poderão ocorrer se houver prévia dotação orçamentária suficiente para atender às projeções de despesa de pessoal e aos acréscimos dela decorrentes.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2º No caso do Poder Legislativo, deverão ser obedecidos, adicionalmente, os limites fixados nos art. 29 e 29-A da Constituição Federal.</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CAPITULO IX</w:t>
      </w:r>
    </w:p>
    <w:p w:rsidR="007451AA" w:rsidRPr="00510AB1" w:rsidRDefault="007451AA" w:rsidP="007451AA">
      <w:pPr>
        <w:tabs>
          <w:tab w:val="left" w:pos="709"/>
          <w:tab w:val="left" w:pos="1418"/>
          <w:tab w:val="left" w:pos="2127"/>
          <w:tab w:val="left" w:pos="2835"/>
        </w:tabs>
        <w:jc w:val="center"/>
        <w:rPr>
          <w:rFonts w:asciiTheme="minorHAnsi" w:hAnsiTheme="minorHAnsi" w:cs="Arial"/>
          <w:sz w:val="24"/>
          <w:szCs w:val="24"/>
        </w:rPr>
      </w:pPr>
      <w:r w:rsidRPr="00510AB1">
        <w:rPr>
          <w:rFonts w:asciiTheme="minorHAnsi" w:hAnsiTheme="minorHAnsi" w:cs="Arial"/>
          <w:sz w:val="24"/>
          <w:szCs w:val="24"/>
        </w:rPr>
        <w:t>DAS DISPOSIÇÕES GERAIS E FINAIS</w:t>
      </w:r>
    </w:p>
    <w:p w:rsidR="007451AA" w:rsidRPr="00510AB1" w:rsidRDefault="007451AA" w:rsidP="007451AA">
      <w:pPr>
        <w:tabs>
          <w:tab w:val="left" w:pos="709"/>
          <w:tab w:val="left" w:pos="1418"/>
          <w:tab w:val="left" w:pos="2127"/>
          <w:tab w:val="left" w:pos="2835"/>
        </w:tabs>
        <w:jc w:val="both"/>
        <w:rPr>
          <w:rFonts w:asciiTheme="minorHAnsi" w:hAnsiTheme="minorHAnsi" w:cs="Arial"/>
          <w:sz w:val="24"/>
          <w:szCs w:val="24"/>
        </w:rPr>
      </w:pPr>
      <w:r w:rsidRPr="00510AB1">
        <w:rPr>
          <w:rFonts w:asciiTheme="minorHAnsi" w:hAnsiTheme="minorHAnsi" w:cs="Arial"/>
          <w:sz w:val="24"/>
          <w:szCs w:val="24"/>
        </w:rPr>
        <w:t xml:space="preserv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26.  O Poder Executivo é autorizado, nos termos da Constituição Federal, 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 - realizar operações de crédito por antecipação da receita, nos termos da legislação em vigor;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 - realizar operações de crédito até o limite estabelecido pela legislação em vigor;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III - abrir créditos suplementares até o limite de 25% (vinte e cinco) do orçamento total das despesas, nos termos da legislação vigente;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IV - abrir créditos suplementares em virtude do excesso de arrecadação apurado no mês ou com base na sua projeção;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V - a abrir no curso da execução do orçamento de 2018, créditos suplementares de dotações vinculadas a recursos de outras fontes específicas, até o limite dos valores efetivamente recebidos;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VI - transpor, remanejar ou transferir recursos, dentro de uma mesma categoria de programação, sem prévia autorização legislativa;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VII - abrir créditos suplementares até o limite da dotação consignada como Reserva de Contingência;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VIII - firmar parcerias com outros entes da Federação, para manutenção de suas atividades, bem como as do Município.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1º Os créditos suplementares de que trata o inciso VII não incidirão sobre o percentual autorizado no inciso III.</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 2° A autorização prevista no inciso V é destinada para os casos em que já exista no orçamento a funcional programática completa (função, subfunção, programa, ação, categoria) e exista a necessidade da criação de outra Fonte de Recursos para a mesma classificação.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3º Para atendimento ao item VI, considerar-se-á "mesma categoria de programação" a despesa que estiver alocada dentro de um mesmo Órgão, Unidade Orçamentária, Unidade Executora, Função de Governo, Subfunção de Governo, Programa de Governo, Destino (Ação) e Categoria Econômica.</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27.  Não se considera abertura de crédito adicional suplementar a simples modificação das fontes de recursos e dos códigos de aplicações das dotações, quando necessários ao ajuste da execução orçamentária.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Parágrafo único.  As modificações de que trata o caput serão efetivadas por ato do chefe do executivo.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28.  O Município poderá conceder incentivos fiscais ao desenvolvimento de atividades na área social, cultural e de esporte mediante leis especificas.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29.  Fica o Poder Executivo autorizado a custear despesas de responsabilidade de outras esferas de Governo, desde que firmados os respectivos convênios, termo de acordo, ajuste ou congênere e haja recursos orçamentários disponíveis.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 xml:space="preserve">Art. 30.  Para a execução dos programas governamentais pelas entidades da Administração Indireta Municipal, o Poder Executivo poderá efetuar repasses através de transferências financeiras concedidas. </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Parágrafo único.  A Lei Orçamentária Anual conterá relatório que demonstre os repasses financeiros a serem executados em 2018, listando os órgãos recebedores e seus respectivos valores.</w:t>
      </w:r>
    </w:p>
    <w:p w:rsidR="007451AA"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p>
    <w:p w:rsidR="00510AB1" w:rsidRPr="00510AB1" w:rsidRDefault="007451AA" w:rsidP="00510AB1">
      <w:pPr>
        <w:tabs>
          <w:tab w:val="left" w:pos="709"/>
          <w:tab w:val="left" w:pos="1418"/>
          <w:tab w:val="left" w:pos="2127"/>
          <w:tab w:val="left" w:pos="2835"/>
        </w:tabs>
        <w:ind w:firstLine="1418"/>
        <w:jc w:val="both"/>
        <w:rPr>
          <w:rFonts w:asciiTheme="minorHAnsi" w:hAnsiTheme="minorHAnsi" w:cs="Arial"/>
          <w:sz w:val="24"/>
          <w:szCs w:val="24"/>
        </w:rPr>
      </w:pPr>
      <w:r w:rsidRPr="00510AB1">
        <w:rPr>
          <w:rFonts w:asciiTheme="minorHAnsi" w:hAnsiTheme="minorHAnsi" w:cs="Arial"/>
          <w:sz w:val="24"/>
          <w:szCs w:val="24"/>
        </w:rPr>
        <w:t>Art. 31.  Esta Lei entra em vigor na data de sua publicação, revogadas as disposições em contrário.</w:t>
      </w:r>
    </w:p>
    <w:p w:rsidR="00FC4EFE" w:rsidRPr="00510AB1" w:rsidRDefault="00FC4EFE" w:rsidP="00FC4EFE">
      <w:pPr>
        <w:tabs>
          <w:tab w:val="left" w:pos="709"/>
          <w:tab w:val="left" w:pos="1418"/>
          <w:tab w:val="left" w:pos="2127"/>
          <w:tab w:val="left" w:pos="2835"/>
        </w:tabs>
        <w:jc w:val="both"/>
        <w:rPr>
          <w:rFonts w:asciiTheme="minorHAnsi" w:hAnsiTheme="minorHAnsi" w:cs="Arial"/>
          <w:sz w:val="24"/>
          <w:szCs w:val="24"/>
        </w:rPr>
      </w:pPr>
    </w:p>
    <w:p w:rsidR="00844E26" w:rsidRPr="00510AB1" w:rsidRDefault="00844E26" w:rsidP="00844E26">
      <w:pPr>
        <w:ind w:left="34"/>
        <w:jc w:val="center"/>
        <w:rPr>
          <w:rFonts w:asciiTheme="minorHAnsi" w:hAnsiTheme="minorHAnsi" w:cs="Arial"/>
          <w:bCs/>
          <w:sz w:val="24"/>
          <w:szCs w:val="24"/>
        </w:rPr>
      </w:pPr>
      <w:r w:rsidRPr="00510AB1">
        <w:rPr>
          <w:rFonts w:asciiTheme="minorHAnsi" w:hAnsiTheme="minorHAnsi" w:cs="Arial"/>
          <w:bCs/>
          <w:sz w:val="24"/>
          <w:szCs w:val="24"/>
        </w:rPr>
        <w:t>Sala de reuniões das comissões, ______________________</w:t>
      </w: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844E26">
      <w:pPr>
        <w:ind w:left="34"/>
        <w:jc w:val="center"/>
        <w:rPr>
          <w:rFonts w:asciiTheme="minorHAnsi" w:hAnsiTheme="minorHAnsi" w:cs="Arial"/>
          <w:bCs/>
          <w:sz w:val="24"/>
          <w:szCs w:val="24"/>
        </w:rPr>
      </w:pPr>
      <w:r w:rsidRPr="00510AB1">
        <w:rPr>
          <w:rFonts w:asciiTheme="minorHAnsi" w:hAnsiTheme="minorHAnsi" w:cs="Arial"/>
          <w:bCs/>
          <w:sz w:val="24"/>
          <w:szCs w:val="24"/>
        </w:rPr>
        <w:t>______________________________</w:t>
      </w:r>
    </w:p>
    <w:p w:rsidR="00844E26" w:rsidRPr="00510AB1" w:rsidRDefault="00844E26" w:rsidP="00844E26">
      <w:pPr>
        <w:ind w:left="34"/>
        <w:jc w:val="center"/>
        <w:rPr>
          <w:rFonts w:asciiTheme="minorHAnsi" w:hAnsiTheme="minorHAnsi" w:cs="Arial"/>
          <w:b/>
          <w:bCs/>
          <w:sz w:val="24"/>
          <w:szCs w:val="24"/>
        </w:rPr>
      </w:pPr>
      <w:r w:rsidRPr="00510AB1">
        <w:rPr>
          <w:rFonts w:asciiTheme="minorHAnsi" w:hAnsiTheme="minorHAnsi" w:cs="Arial"/>
          <w:b/>
          <w:bCs/>
          <w:sz w:val="24"/>
          <w:szCs w:val="24"/>
        </w:rPr>
        <w:t>José Carlos Porsani</w:t>
      </w:r>
    </w:p>
    <w:p w:rsidR="00844E26" w:rsidRPr="00510AB1" w:rsidRDefault="00844E26" w:rsidP="00844E26">
      <w:pPr>
        <w:ind w:left="34"/>
        <w:jc w:val="center"/>
        <w:rPr>
          <w:rFonts w:asciiTheme="minorHAnsi" w:hAnsiTheme="minorHAnsi" w:cs="Arial"/>
          <w:bCs/>
          <w:sz w:val="24"/>
          <w:szCs w:val="24"/>
        </w:rPr>
      </w:pPr>
      <w:r w:rsidRPr="00510AB1">
        <w:rPr>
          <w:rFonts w:asciiTheme="minorHAnsi" w:hAnsiTheme="minorHAnsi" w:cs="Arial"/>
          <w:b/>
          <w:bCs/>
          <w:sz w:val="24"/>
          <w:szCs w:val="24"/>
        </w:rPr>
        <w:t>Presidente da CJLR</w:t>
      </w: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844E26">
      <w:pPr>
        <w:ind w:left="34"/>
        <w:jc w:val="center"/>
        <w:rPr>
          <w:rFonts w:asciiTheme="minorHAnsi" w:hAnsiTheme="minorHAnsi" w:cs="Arial"/>
          <w:bCs/>
          <w:sz w:val="24"/>
          <w:szCs w:val="24"/>
        </w:rPr>
      </w:pPr>
    </w:p>
    <w:p w:rsidR="00844E26" w:rsidRPr="00510AB1" w:rsidRDefault="00844E26" w:rsidP="00580C2A">
      <w:pPr>
        <w:ind w:left="34"/>
        <w:jc w:val="both"/>
        <w:rPr>
          <w:rFonts w:asciiTheme="minorHAnsi" w:hAnsiTheme="minorHAnsi" w:cs="Arial"/>
          <w:bCs/>
          <w:sz w:val="24"/>
          <w:szCs w:val="24"/>
        </w:rPr>
      </w:pPr>
      <w:r w:rsidRPr="00510AB1">
        <w:rPr>
          <w:rFonts w:asciiTheme="minorHAnsi" w:hAnsiTheme="minorHAnsi" w:cs="Arial"/>
          <w:bCs/>
          <w:sz w:val="24"/>
          <w:szCs w:val="24"/>
        </w:rPr>
        <w:t xml:space="preserve">______________________________              </w:t>
      </w:r>
      <w:r w:rsidR="00580C2A">
        <w:rPr>
          <w:rFonts w:asciiTheme="minorHAnsi" w:hAnsiTheme="minorHAnsi" w:cs="Arial"/>
          <w:bCs/>
          <w:sz w:val="24"/>
          <w:szCs w:val="24"/>
        </w:rPr>
        <w:t xml:space="preserve">                              </w:t>
      </w:r>
      <w:r w:rsidRPr="00510AB1">
        <w:rPr>
          <w:rFonts w:asciiTheme="minorHAnsi" w:hAnsiTheme="minorHAnsi" w:cs="Arial"/>
          <w:bCs/>
          <w:sz w:val="24"/>
          <w:szCs w:val="24"/>
        </w:rPr>
        <w:t>______________________________</w:t>
      </w:r>
    </w:p>
    <w:p w:rsidR="00844E26" w:rsidRPr="00510AB1" w:rsidRDefault="00580C2A" w:rsidP="00580C2A">
      <w:pPr>
        <w:ind w:left="34"/>
        <w:rPr>
          <w:rFonts w:asciiTheme="minorHAnsi" w:hAnsiTheme="minorHAnsi" w:cs="Arial"/>
          <w:b/>
          <w:bCs/>
          <w:sz w:val="24"/>
          <w:szCs w:val="24"/>
        </w:rPr>
      </w:pPr>
      <w:r>
        <w:rPr>
          <w:rFonts w:asciiTheme="minorHAnsi" w:hAnsiTheme="minorHAnsi" w:cs="Arial"/>
          <w:b/>
          <w:bCs/>
          <w:sz w:val="24"/>
          <w:szCs w:val="24"/>
        </w:rPr>
        <w:t xml:space="preserve">                Cabo </w:t>
      </w:r>
      <w:r w:rsidR="00844E26" w:rsidRPr="00510AB1">
        <w:rPr>
          <w:rFonts w:asciiTheme="minorHAnsi" w:hAnsiTheme="minorHAnsi" w:cs="Arial"/>
          <w:b/>
          <w:bCs/>
          <w:sz w:val="24"/>
          <w:szCs w:val="24"/>
        </w:rPr>
        <w:t>Magal V</w:t>
      </w:r>
      <w:r>
        <w:rPr>
          <w:rFonts w:asciiTheme="minorHAnsi" w:hAnsiTheme="minorHAnsi" w:cs="Arial"/>
          <w:b/>
          <w:bCs/>
          <w:sz w:val="24"/>
          <w:szCs w:val="24"/>
        </w:rPr>
        <w:t>erri</w:t>
      </w:r>
      <w:r>
        <w:rPr>
          <w:rFonts w:asciiTheme="minorHAnsi" w:hAnsiTheme="minorHAnsi" w:cs="Arial"/>
          <w:b/>
          <w:bCs/>
          <w:sz w:val="24"/>
          <w:szCs w:val="24"/>
        </w:rPr>
        <w:tab/>
        <w:t xml:space="preserve">                                                                    </w:t>
      </w:r>
      <w:bookmarkStart w:id="0" w:name="_GoBack"/>
      <w:bookmarkEnd w:id="0"/>
      <w:r w:rsidR="00844E26" w:rsidRPr="00510AB1">
        <w:rPr>
          <w:rFonts w:asciiTheme="minorHAnsi" w:hAnsiTheme="minorHAnsi" w:cs="Arial"/>
          <w:b/>
          <w:bCs/>
          <w:sz w:val="24"/>
          <w:szCs w:val="24"/>
        </w:rPr>
        <w:t>Thainara Faria</w:t>
      </w:r>
    </w:p>
    <w:p w:rsidR="00844E26" w:rsidRPr="00510AB1" w:rsidRDefault="00844E26" w:rsidP="00844E26">
      <w:pPr>
        <w:rPr>
          <w:rFonts w:asciiTheme="minorHAnsi" w:hAnsiTheme="minorHAnsi" w:cs="Arial"/>
          <w:b/>
          <w:bCs/>
          <w:sz w:val="24"/>
          <w:szCs w:val="24"/>
        </w:rPr>
      </w:pPr>
    </w:p>
    <w:p w:rsidR="00C110DC" w:rsidRPr="00510AB1" w:rsidRDefault="00C110DC" w:rsidP="00844E26">
      <w:pPr>
        <w:ind w:left="567" w:right="-374"/>
        <w:jc w:val="center"/>
        <w:rPr>
          <w:rFonts w:asciiTheme="minorHAnsi" w:hAnsiTheme="minorHAnsi" w:cs="Arial"/>
          <w:b/>
          <w:sz w:val="24"/>
          <w:szCs w:val="24"/>
        </w:rPr>
      </w:pPr>
    </w:p>
    <w:sectPr w:rsidR="00C110DC" w:rsidRPr="00510AB1"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580C2A">
          <w:rPr>
            <w:noProof/>
          </w:rPr>
          <w:t>7</w:t>
        </w:r>
        <w:r>
          <w:fldChar w:fldCharType="end"/>
        </w:r>
      </w:p>
    </w:sdtContent>
  </w:sdt>
  <w:p w:rsidR="00877B64" w:rsidRDefault="00877B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0DC" w:rsidRPr="009E0C3A" w:rsidRDefault="002F7149" w:rsidP="00C110DC">
    <w:pPr>
      <w:pStyle w:val="Cabealho"/>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-501650</wp:posOffset>
          </wp:positionH>
          <wp:positionV relativeFrom="paragraph">
            <wp:posOffset>-144145</wp:posOffset>
          </wp:positionV>
          <wp:extent cx="617855" cy="6985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17855" cy="698500"/>
                  </a:xfrm>
                  <a:prstGeom prst="rect">
                    <a:avLst/>
                  </a:prstGeom>
                  <a:noFill/>
                </pic:spPr>
              </pic:pic>
            </a:graphicData>
          </a:graphic>
        </wp:anchor>
      </w:drawing>
    </w:r>
    <w:r w:rsidR="00C110DC">
      <w:rPr>
        <w:rFonts w:ascii="Trajan" w:hAnsi="Trajan"/>
        <w:color w:val="3889AE"/>
        <w:spacing w:val="22"/>
        <w:sz w:val="32"/>
        <w:szCs w:val="32"/>
      </w:rPr>
      <w:t>CÂMARA MUNICIPAL DE ARARAQUARA</w:t>
    </w:r>
    <w:r w:rsidR="00C110DC" w:rsidRPr="009E0C3A">
      <w:t xml:space="preserve"> </w:t>
    </w:r>
    <w:r w:rsidR="00C110DC" w:rsidRPr="009E0C3A">
      <w:rPr>
        <w:rFonts w:ascii="Trajan" w:hAnsi="Trajan"/>
        <w:color w:val="3889AE"/>
        <w:spacing w:val="22"/>
        <w:sz w:val="26"/>
        <w:szCs w:val="32"/>
        <w:u w:val="single"/>
      </w:rPr>
      <w:t>COMISSÃO DE</w:t>
    </w:r>
    <w:r w:rsidR="00C110DC">
      <w:rPr>
        <w:rFonts w:ascii="Trajan" w:hAnsi="Trajan"/>
        <w:color w:val="3889AE"/>
        <w:spacing w:val="22"/>
        <w:sz w:val="26"/>
        <w:szCs w:val="32"/>
        <w:u w:val="single"/>
      </w:rPr>
      <w:t xml:space="preserve"> </w:t>
    </w:r>
    <w:r w:rsidR="00C110DC"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1D7EE6"/>
    <w:rsid w:val="00242A1A"/>
    <w:rsid w:val="002F4BE3"/>
    <w:rsid w:val="002F6514"/>
    <w:rsid w:val="002F7149"/>
    <w:rsid w:val="003F07FB"/>
    <w:rsid w:val="004423DA"/>
    <w:rsid w:val="004D6249"/>
    <w:rsid w:val="004F78B4"/>
    <w:rsid w:val="00510AB1"/>
    <w:rsid w:val="00523C1B"/>
    <w:rsid w:val="00533B60"/>
    <w:rsid w:val="00580C2A"/>
    <w:rsid w:val="005927CE"/>
    <w:rsid w:val="005C5BBB"/>
    <w:rsid w:val="005E6886"/>
    <w:rsid w:val="00627E09"/>
    <w:rsid w:val="006779C6"/>
    <w:rsid w:val="0068127F"/>
    <w:rsid w:val="00695317"/>
    <w:rsid w:val="006B2529"/>
    <w:rsid w:val="006B359A"/>
    <w:rsid w:val="006F6ACC"/>
    <w:rsid w:val="00734230"/>
    <w:rsid w:val="00734355"/>
    <w:rsid w:val="007378DC"/>
    <w:rsid w:val="007451AA"/>
    <w:rsid w:val="008021DA"/>
    <w:rsid w:val="0084027C"/>
    <w:rsid w:val="00844E26"/>
    <w:rsid w:val="00877B64"/>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110DC"/>
    <w:pPr>
      <w:tabs>
        <w:tab w:val="center" w:pos="4252"/>
        <w:tab w:val="right" w:pos="8504"/>
      </w:tabs>
    </w:pPr>
  </w:style>
  <w:style w:type="character" w:customStyle="1" w:styleId="CabealhoChar">
    <w:name w:val="Cabeçalho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3017</Words>
  <Characters>16293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5</cp:revision>
  <cp:lastPrinted>1998-11-10T17:41:00Z</cp:lastPrinted>
  <dcterms:created xsi:type="dcterms:W3CDTF">2017-06-13T18:48:00Z</dcterms:created>
  <dcterms:modified xsi:type="dcterms:W3CDTF">2017-06-13T19:13:00Z</dcterms:modified>
</cp:coreProperties>
</file>