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bookmarkStart w:id="0" w:name="_GoBack"/>
      <w:r w:rsidR="0073185A" w:rsidRPr="0073185A">
        <w:rPr>
          <w:rFonts w:ascii="Calibri" w:hAnsi="Calibri" w:cs="Arial"/>
          <w:sz w:val="22"/>
          <w:szCs w:val="22"/>
        </w:rPr>
        <w:t xml:space="preserve">Rua Alcides Antunes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 xml:space="preserve">pública </w:t>
      </w:r>
      <w:bookmarkEnd w:id="0"/>
      <w:r w:rsidRPr="00C23AEF">
        <w:rPr>
          <w:rFonts w:ascii="Calibri" w:hAnsi="Calibri" w:cs="Arial"/>
          <w:sz w:val="22"/>
          <w:szCs w:val="22"/>
        </w:rPr>
        <w:t>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73185A">
        <w:rPr>
          <w:rFonts w:ascii="Calibri" w:hAnsi="Calibri" w:cs="Arial"/>
          <w:sz w:val="24"/>
          <w:szCs w:val="24"/>
        </w:rPr>
        <w:t>Rua Alcides Antunes</w:t>
      </w:r>
      <w:r w:rsidR="003B2585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3B2585">
        <w:rPr>
          <w:rFonts w:ascii="Calibri" w:hAnsi="Calibri" w:cs="Arial"/>
          <w:sz w:val="24"/>
          <w:szCs w:val="24"/>
        </w:rPr>
        <w:t xml:space="preserve">Rua </w:t>
      </w:r>
      <w:r w:rsidR="0073185A">
        <w:rPr>
          <w:rFonts w:ascii="Calibri" w:hAnsi="Calibri" w:cs="Arial"/>
          <w:sz w:val="24"/>
          <w:szCs w:val="24"/>
        </w:rPr>
        <w:t>1</w:t>
      </w:r>
      <w:r w:rsidR="003B2585">
        <w:rPr>
          <w:rFonts w:ascii="Calibri" w:hAnsi="Calibri" w:cs="Arial"/>
          <w:sz w:val="24"/>
          <w:szCs w:val="24"/>
        </w:rPr>
        <w:t>0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C23AEF">
        <w:rPr>
          <w:rFonts w:ascii="Calibri" w:hAnsi="Calibri" w:cs="Arial"/>
          <w:sz w:val="24"/>
          <w:szCs w:val="24"/>
        </w:rPr>
        <w:t>Atlanta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73185A">
        <w:rPr>
          <w:rFonts w:ascii="Calibri" w:hAnsi="Calibri" w:cs="Arial"/>
          <w:sz w:val="24"/>
          <w:szCs w:val="24"/>
        </w:rPr>
        <w:t>Rua 09</w:t>
      </w:r>
      <w:r w:rsidR="00C23AEF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e término </w:t>
      </w:r>
      <w:r w:rsidR="0073185A">
        <w:rPr>
          <w:rFonts w:ascii="Calibri" w:hAnsi="Calibri" w:cs="Arial"/>
          <w:sz w:val="24"/>
          <w:szCs w:val="24"/>
        </w:rPr>
        <w:t xml:space="preserve">no Sistema de Lazer </w:t>
      </w:r>
      <w:r w:rsidR="00C23AEF">
        <w:rPr>
          <w:rFonts w:ascii="Calibri" w:hAnsi="Calibri" w:cs="Arial"/>
          <w:sz w:val="24"/>
          <w:szCs w:val="24"/>
        </w:rPr>
        <w:t>03</w:t>
      </w:r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3B2585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3185A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D05ABD"/>
    <w:rsid w:val="00D229E0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2017-05-29T15:36:00Z</dcterms:created>
  <dcterms:modified xsi:type="dcterms:W3CDTF">2017-05-29T15:36:00Z</dcterms:modified>
</cp:coreProperties>
</file>