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727F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727F9">
        <w:rPr>
          <w:rFonts w:ascii="Tahoma" w:hAnsi="Tahoma" w:cs="Tahoma"/>
          <w:b/>
          <w:sz w:val="32"/>
          <w:szCs w:val="32"/>
          <w:u w:val="single"/>
        </w:rPr>
        <w:t>102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727F9">
        <w:rPr>
          <w:rFonts w:ascii="Tahoma" w:hAnsi="Tahoma" w:cs="Tahoma"/>
          <w:b/>
          <w:sz w:val="32"/>
          <w:szCs w:val="32"/>
          <w:u w:val="single"/>
        </w:rPr>
        <w:t>090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3727F9" w:rsidRPr="003727F9" w:rsidRDefault="003727F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727F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727F9">
        <w:rPr>
          <w:rFonts w:ascii="Calibri" w:hAnsi="Calibri" w:cs="Calibri"/>
          <w:sz w:val="22"/>
          <w:szCs w:val="22"/>
        </w:rPr>
        <w:t>Institui e inclui no Calendário Oficial do Município de Araraquara o “Dia da Força Jovem Universal”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727F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727F9">
        <w:rPr>
          <w:rFonts w:ascii="Calibri" w:hAnsi="Calibri" w:cs="Calibri"/>
          <w:sz w:val="24"/>
          <w:szCs w:val="24"/>
        </w:rPr>
        <w:t>Art. 1º Fica instituída e incluída no Calendário Oficial do Município de Araraquara o “Dia da Força Jovem Universal”, a ser anualmente comemorado na segunda sexta-feira do mês de julho de cada ano.</w:t>
      </w: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727F9">
        <w:rPr>
          <w:rFonts w:ascii="Calibri" w:hAnsi="Calibri" w:cs="Calibri"/>
          <w:sz w:val="24"/>
          <w:szCs w:val="24"/>
        </w:rPr>
        <w:t xml:space="preserve"> </w:t>
      </w: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727F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727F9">
        <w:rPr>
          <w:rFonts w:ascii="Calibri" w:hAnsi="Calibri" w:cs="Calibri"/>
          <w:sz w:val="24"/>
          <w:szCs w:val="24"/>
        </w:rPr>
        <w:t xml:space="preserve">Art. 2º A data a que se refere o artigo anterior será primordialmente comemorada por meio de uma Reunião Solene, a ser conduzida por entidades ligadas à Força Jovem Universal. </w:t>
      </w: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727F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727F9">
        <w:rPr>
          <w:rFonts w:ascii="Calibri" w:hAnsi="Calibri" w:cs="Calibri"/>
          <w:sz w:val="24"/>
          <w:szCs w:val="24"/>
        </w:rPr>
        <w:t xml:space="preserve">Parágrafo único. Sem prejuízo do “caput”, poderão ser realizadas demais reuniões, palestras, seminários ou outros eventos relacionados à Força Jovem Universal. </w:t>
      </w: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727F9">
        <w:rPr>
          <w:rFonts w:ascii="Calibri" w:hAnsi="Calibri" w:cs="Calibri"/>
          <w:sz w:val="24"/>
          <w:szCs w:val="24"/>
        </w:rPr>
        <w:t xml:space="preserve">                                                 </w:t>
      </w: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727F9">
        <w:rPr>
          <w:rFonts w:ascii="Calibri" w:hAnsi="Calibri" w:cs="Calibri"/>
          <w:sz w:val="24"/>
          <w:szCs w:val="24"/>
        </w:rPr>
        <w:t>Art. 3º Os recursos necessários para atender as despesas com a execução desta Lei serão obtidos mediante parceria com entidades da iniciativa privada ou empresas governamentais, sem acarretar ônus para o Município.</w:t>
      </w:r>
    </w:p>
    <w:p w:rsidR="003727F9" w:rsidRPr="003727F9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727F9" w:rsidP="003727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3727F9">
        <w:rPr>
          <w:rFonts w:ascii="Calibri" w:hAnsi="Calibri" w:cs="Calibri"/>
          <w:sz w:val="24"/>
          <w:szCs w:val="24"/>
        </w:rPr>
        <w:t>Art. 4°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770E">
        <w:rPr>
          <w:rFonts w:ascii="Calibri" w:hAnsi="Calibri" w:cs="Calibri"/>
          <w:sz w:val="24"/>
          <w:szCs w:val="24"/>
        </w:rPr>
        <w:t>1</w:t>
      </w:r>
      <w:r w:rsidR="005C661F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770E">
        <w:rPr>
          <w:rFonts w:ascii="Calibri" w:hAnsi="Calibri" w:cs="Calibri"/>
          <w:sz w:val="24"/>
          <w:szCs w:val="24"/>
        </w:rPr>
        <w:t>dez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727F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27F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27F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27F9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62</cp:revision>
  <cp:lastPrinted>2017-04-25T15:43:00Z</cp:lastPrinted>
  <dcterms:created xsi:type="dcterms:W3CDTF">2016-08-16T19:55:00Z</dcterms:created>
  <dcterms:modified xsi:type="dcterms:W3CDTF">2017-05-09T15:21:00Z</dcterms:modified>
</cp:coreProperties>
</file>