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4934B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34BE">
        <w:rPr>
          <w:rFonts w:ascii="Tahoma" w:hAnsi="Tahoma" w:cs="Tahoma"/>
          <w:b/>
          <w:sz w:val="32"/>
          <w:szCs w:val="32"/>
          <w:u w:val="single"/>
        </w:rPr>
        <w:t>087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34BE">
        <w:rPr>
          <w:rFonts w:ascii="Tahoma" w:hAnsi="Tahoma" w:cs="Tahoma"/>
          <w:b/>
          <w:sz w:val="32"/>
          <w:szCs w:val="32"/>
          <w:u w:val="single"/>
        </w:rPr>
        <w:t>101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934B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934BE">
        <w:rPr>
          <w:rFonts w:ascii="Calibri" w:hAnsi="Calibri" w:cs="Calibri"/>
          <w:sz w:val="22"/>
          <w:szCs w:val="22"/>
        </w:rPr>
        <w:t>Dispõe sobre a criação do Comitê Municipal de Governança Pública - CMGP.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1º Fica criado o Comitê Municipal de Governança Pública – CMGP, órgão central do sistema municipal de governança.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Parágrafo único. O Comitê Municipal de Governança Pública - CMGP é órgão de assessoramento direto e imediato do Prefeito Municipal e passa a integrar o organograma de seu gabinete.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2º O Comitê Municipal de Governança Pública – CMGP tem por atribuição: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 xml:space="preserve">I – Promover a consolidação de um sistema municipal de governança, pautado pelos princípios regentes da Administração Pública; 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II – Opinar sobre as diretrizes da gestão municipal, com o objetivo de melhorar as condições de Governança Pública dos órgãos integrantes da administração direta e indireta;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III – Contribuir para a transparência da gestão e para a implementação de programas de integridade, a partir do estabelecimento de metodologia específica, nos órgãos da administração direta e indireta, tendo amplo acesso aos dados e informações referentes à arrecadação, ao custeio municipal e aos recursos humanos e materiais disponíveis;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IV – Assessorar o Prefeito Municipal na formulação de políticas e diretrizes específicas, voltadas ao desenvolvimento de uma rede municipal de Governança;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 – Zelar pela atuação e pela integração dos órgãos de controle interno, externo e social, bem como pela articulação entre os órgãos municipais e os Estaduais e/ou Federais de controle;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VI – Estimular a formação, articulação e ampliação das redes de participação social, promovendo e fortalecendo o controle social, exercido pela sociedade civil, nas formas e nos instrumentos previstos em Lei;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VII – Promover a articulação com os Conselhos Municipais e estimular a descentralização do planejamento e da execução de ações;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VIII – Opinar sobre outros assuntos que lhe forem submetidos pelo Prefeito Municipal.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3º O Comitê Municipal de Governança Pública – CMGP terá a seguinte composição: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 – Prefeito Municipal;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II – Procurador Geral do Município;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III – Controlador Geral do Município;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IV – Ouvidor Geral do Município;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 – Presidente da Comissão de Ética Pública do Poder Executivo Municipal;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VI – Presidente do Conselho do Orçamento Participativo;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VII – Secretário Executivo do Gabinete de Gestão Integrada Municipal;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VIII – Um representante do Conselho Econômico e Social;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IX – Um representante do Comitê de Gestão Democrática.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34BE">
        <w:rPr>
          <w:rFonts w:ascii="Calibri" w:hAnsi="Calibri" w:cs="Calibri"/>
          <w:sz w:val="24"/>
          <w:szCs w:val="24"/>
        </w:rPr>
        <w:t>1º O Prefeito Municipal presidirá o presente comitê e será substituído, em suas ausências, pelo Procurador Geral do Município.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34BE">
        <w:rPr>
          <w:rFonts w:ascii="Calibri" w:hAnsi="Calibri" w:cs="Calibri"/>
          <w:sz w:val="24"/>
          <w:szCs w:val="24"/>
        </w:rPr>
        <w:t>2º Os representantes referidos nos incisos VIII e IX do presente artigo serão designados pelo Chefe do Executivo no prazo máximo de 15 (quinze) dias a contar da entrada em vigor da presente Lei.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4º O Comitê Municipal de Governança Pública – CMGP reunir-se-á ordinariamente uma vez por mês e, extraordinariamente, sempre que necessário, por determinação de seu presidente ou a requerimento da maioria absoluta de seus membros.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34BE">
        <w:rPr>
          <w:rFonts w:ascii="Calibri" w:hAnsi="Calibri" w:cs="Calibri"/>
          <w:sz w:val="24"/>
          <w:szCs w:val="24"/>
        </w:rPr>
        <w:t>1º As reuniões referidas no caput do presente artigo serão convocadas pelo Presidente do comitê com antecedência mínima de 2 (dois) dias úteis;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34BE">
        <w:rPr>
          <w:rFonts w:ascii="Calibri" w:hAnsi="Calibri" w:cs="Calibri"/>
          <w:sz w:val="24"/>
          <w:szCs w:val="24"/>
        </w:rPr>
        <w:t>2º Na ocasião da convocação das reuniões será divulgada sua pauta, o horário e o local de sua realização;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34BE">
        <w:rPr>
          <w:rFonts w:ascii="Calibri" w:hAnsi="Calibri" w:cs="Calibri"/>
          <w:sz w:val="24"/>
          <w:szCs w:val="24"/>
        </w:rPr>
        <w:t xml:space="preserve">3º A juízo do Presidente do Comitê Municipal de Governança Pública – CMGP, poderão ser convidados para participar das reuniões, sem direito a voto, pessoas de notório saber e representantes de órgãos e entidades públicas ou privadas, quando o convite guardar pertinência com a pauta da reunião. 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4934BE">
        <w:rPr>
          <w:rFonts w:ascii="Calibri" w:hAnsi="Calibri" w:cs="Calibri"/>
          <w:sz w:val="24"/>
          <w:szCs w:val="24"/>
        </w:rPr>
        <w:t>4º As reuniões plenárias do Comitê Municipal de Governança Pública – CMGP serão realizadas em Araraquara, Estado de São Paulo, com a presença da maioria de seus membros.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5º Os representantes referidos nos incisos VIII e IX do Art. 3º da presente Lei serão automaticamente desligados do Comitê Municipal de Governança Pública – CMGP, e dele substituídos, em caso de ausência imotivada a três reuniões plenárias consecutivas do Comitê ou em caso de prática de ato incompatível com o exercício das atribuições deste colegiado, por decisão da maioria absoluta de seus membros.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6º Os membros do Comitê Municipal de Governança Pública – CMGP que desejarem fazer uso da palavra durante as reuniões do comitê deverão inscrever-se, perante o Presidente, que lhes concederá a palavra de acordo com a ordem de inscrição, observando o limite de tempo previsto para a duração do encontro.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Parágrafo único. Independentemente da intervenção oral dos membros do Comitê nas reuniões, ser-lhes-á facultado registrar, por escrito, suas manifestações, que constarão das respectivas atas.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7º O Comitê Municipal de Governança Pública – CMGP buscará deliberar por consenso ou, na impossibilidade de alcança-lo, pela decisão da maioria absoluta dos membros presentes em cada reunião.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Parágrafo único. Nas deliberações aprovadas por maioria de membros, será facultada a apresentação de voto escrito, em separado, contendo as posições divergentes.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8º Na primeira reunião ordinária do Comitê Municipal de Governança Pública – CMGP será formada uma comissão para elaboração do regimento interno do presente comitê, que será submetido ao seu pleno para deliberação por maioria absoluta de seus membros.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Parágrafo único. Após a deliberação referida no caput deste artigo, o chefe do poder executivo baixará o regimento interno do comitê por ato administrativo próprio.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9º A participação dos membros nas atividades do Comitê Municipal de Governança Pública – CMGP será considerada de relevante interesse público e não será remunerada.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10. O apoio administrativo necessário à execução das atividades do CMGP será prestado pela Secretaria Municipal de Gestão e Finanças.</w:t>
      </w: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4934BE">
        <w:rPr>
          <w:rFonts w:ascii="Calibri" w:hAnsi="Calibri" w:cs="Calibri"/>
          <w:sz w:val="24"/>
          <w:szCs w:val="24"/>
        </w:rPr>
        <w:t>Parágrafo único. A secretaria das reuniões será realizada por servidor especialmente designado pelo Chefe do Executivo, na abertura de cada reunião, para o exercício “ad hoc” da função.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11. As dúvidas e os casos omissos desta Lei e do regimento interno do presente órgão serão dirimidos pelo Presidente do Comitê Municipal de Governança Pública – CMGP.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4934BE" w:rsidRP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934BE">
        <w:rPr>
          <w:rFonts w:ascii="Calibri" w:hAnsi="Calibri" w:cs="Calibri"/>
          <w:sz w:val="24"/>
          <w:szCs w:val="24"/>
        </w:rPr>
        <w:t>Art. 12. Esta Lei entra em vigor na data de sua publicação.</w:t>
      </w:r>
    </w:p>
    <w:p w:rsidR="004934BE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4934BE" w:rsidP="004934B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4934BE">
        <w:rPr>
          <w:rFonts w:ascii="Calibri" w:hAnsi="Calibri" w:cs="Calibri"/>
          <w:sz w:val="24"/>
          <w:szCs w:val="24"/>
        </w:rPr>
        <w:t>Art. 13.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C6AB7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C6AB7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57A0C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934B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934B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934B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934BE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1014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60</cp:revision>
  <cp:lastPrinted>2017-04-25T15:43:00Z</cp:lastPrinted>
  <dcterms:created xsi:type="dcterms:W3CDTF">2016-08-16T19:55:00Z</dcterms:created>
  <dcterms:modified xsi:type="dcterms:W3CDTF">2017-04-25T19:04:00Z</dcterms:modified>
</cp:coreProperties>
</file>